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030CD0">
        <w:rPr>
          <w:b/>
          <w:bCs/>
          <w:color w:val="3333FF"/>
          <w:sz w:val="24"/>
          <w:szCs w:val="24"/>
          <w:lang w:val="sr-Latn-BA"/>
        </w:rPr>
        <w:t>22.06.</w:t>
      </w:r>
      <w:r w:rsidR="005A576B">
        <w:rPr>
          <w:b/>
          <w:bCs/>
          <w:color w:val="3333FF"/>
          <w:sz w:val="24"/>
          <w:szCs w:val="24"/>
          <w:lang w:val="sr-Latn-BA"/>
        </w:rPr>
        <w:t>2017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5A576B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5A576B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  <w:r w:rsidR="00030CD0">
              <w:rPr>
                <w:b/>
                <w:bCs/>
                <w:color w:val="3333FF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EF0ED9" w:rsidRPr="008A6AF9" w:rsidRDefault="000B4C83" w:rsidP="00EF0E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5" w:name="_GoBack"/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električnim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materijalem</w:t>
            </w:r>
            <w:proofErr w:type="spellEnd"/>
            <w:r w:rsidR="00EF0ED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</w:p>
          <w:bookmarkEnd w:id="5"/>
          <w:p w:rsidR="00B902AD" w:rsidRPr="000B4C83" w:rsidRDefault="00B902AD" w:rsidP="0017685F">
            <w:pPr>
              <w:jc w:val="center"/>
              <w:rPr>
                <w:b/>
                <w:bCs/>
                <w:color w:val="3333FF"/>
                <w:sz w:val="28"/>
                <w:szCs w:val="28"/>
                <w:lang w:val="sr-Latn-RS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1F2E9F" w:rsidRPr="008A6AF9" w:rsidRDefault="001F2E9F" w:rsidP="001F2E9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električnim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materijalem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</w:p>
          <w:p w:rsidR="00B902AD" w:rsidRPr="0031327D" w:rsidRDefault="00B902AD" w:rsidP="008C731F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17685F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50</w:t>
            </w:r>
            <w:r w:rsidR="00FC25C9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00 00 - 5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030CD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030CD0">
              <w:rPr>
                <w:b/>
                <w:bCs/>
                <w:color w:val="3333FF"/>
                <w:sz w:val="24"/>
                <w:szCs w:val="24"/>
              </w:rPr>
              <w:t>3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,000.00 €]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pPr w:leftFromText="180" w:rightFromText="180" w:vertAnchor="text" w:horzAnchor="margin" w:tblpXSpec="center" w:tblpY="126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5412"/>
              <w:gridCol w:w="1902"/>
              <w:gridCol w:w="1610"/>
            </w:tblGrid>
            <w:tr w:rsidR="00A93220" w:rsidRPr="00A93220" w:rsidTr="002E1044">
              <w:trPr>
                <w:trHeight w:val="356"/>
              </w:trPr>
              <w:tc>
                <w:tcPr>
                  <w:tcW w:w="365" w:type="pct"/>
                  <w:shd w:val="clear" w:color="auto" w:fill="F2F2F2"/>
                  <w:vAlign w:val="bottom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  <w:t>Nr.</w:t>
                  </w:r>
                </w:p>
              </w:tc>
              <w:tc>
                <w:tcPr>
                  <w:tcW w:w="2811" w:type="pct"/>
                  <w:shd w:val="clear" w:color="auto" w:fill="F2F2F2"/>
                  <w:vAlign w:val="bottom"/>
                </w:tcPr>
                <w:p w:rsidR="00A93220" w:rsidRPr="00A93220" w:rsidRDefault="001F2E9F" w:rsidP="00A93220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  <w:t>Nayiv materiala</w:t>
                  </w:r>
                </w:p>
              </w:tc>
              <w:tc>
                <w:tcPr>
                  <w:tcW w:w="988" w:type="pct"/>
                  <w:shd w:val="clear" w:color="auto" w:fill="F2F2F2"/>
                  <w:vAlign w:val="bottom"/>
                </w:tcPr>
                <w:p w:rsidR="00A93220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  <w:t>Jedinic za merenje</w:t>
                  </w:r>
                </w:p>
              </w:tc>
              <w:tc>
                <w:tcPr>
                  <w:tcW w:w="836" w:type="pct"/>
                  <w:shd w:val="clear" w:color="auto" w:fill="F2F2F2"/>
                  <w:vAlign w:val="bottom"/>
                </w:tcPr>
                <w:p w:rsidR="00A93220" w:rsidRPr="00A93220" w:rsidRDefault="001F2E9F" w:rsidP="00A93220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val="sq-AL" w:eastAsia="sr-Latn-CS"/>
                    </w:rPr>
                    <w:t>Kolicina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0B4C83" w:rsidP="000B4C83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Jednofazni ukidač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0B4C83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komada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2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0B4C83" w:rsidP="000B4C83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Trofazni kontaktor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CNN25– 400V, 11KW, 35A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3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Trofazni kontaktor</w:t>
                  </w: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CNN25 – 400V, 11KW, 25a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9813D1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5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4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Starter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i</w:t>
                  </w: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– 4-22W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9813D1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5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Indikator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i za kupatilo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9813D1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4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6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0B4C83" w:rsidP="000B4C83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Blinder kabel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(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vezni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) 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dugački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qese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3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7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Plafonjerka Led 12 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8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Ekonomsko svetlo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20 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150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9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Automatski osigurači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s</w:t>
                  </w: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a špulne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20 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pPr>
                    <w:jc w:val="both"/>
                  </w:pPr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10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10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A93220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Kalaj </w:t>
                  </w:r>
                  <w:r w:rsidR="00594629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debline 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1.20mm (soldex)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kg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11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594629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Izolir traka</w:t>
                  </w:r>
                  <w:r w:rsidR="00A93220"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(izolir)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12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594629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Fleksibilni kabel</w:t>
                  </w:r>
                  <w:r w:rsidR="00A93220"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3X1.5mm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m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200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13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594629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Fleksibilni kabel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3X2.5mm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m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100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14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Default="00594629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Led svetlo </w:t>
                  </w:r>
                </w:p>
                <w:p w:rsidR="00A93220" w:rsidRPr="00A93220" w:rsidRDefault="001F2E9F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3</w:t>
                  </w:r>
                  <w:r w:rsidR="00594629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za električne stubove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50 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A93220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B0561A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60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lastRenderedPageBreak/>
                    <w:t>15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Universalni instrument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r w:rsidRPr="00167933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2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16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Letkon Weller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r w:rsidRPr="00167933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FFFFFF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17</w:t>
                  </w:r>
                </w:p>
              </w:tc>
              <w:tc>
                <w:tcPr>
                  <w:tcW w:w="2811" w:type="pct"/>
                  <w:shd w:val="clear" w:color="auto" w:fill="FFFFFF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  <w:t>Jednofazna štekdoza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  <w:t xml:space="preserve"> OG  </w:t>
                  </w:r>
                </w:p>
              </w:tc>
              <w:tc>
                <w:tcPr>
                  <w:tcW w:w="988" w:type="pct"/>
                  <w:shd w:val="clear" w:color="auto" w:fill="FFFFFF"/>
                </w:tcPr>
                <w:p w:rsidR="001F2E9F" w:rsidRDefault="001F2E9F" w:rsidP="001F2E9F">
                  <w:r w:rsidRPr="00167933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FFFFFF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40</w:t>
                  </w:r>
                </w:p>
              </w:tc>
            </w:tr>
            <w:tr w:rsidR="001F2E9F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18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highlight w:val="yellow"/>
                      <w:lang w:val="sq-AL" w:eastAsia="it-IT"/>
                    </w:rPr>
                  </w:pPr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  <w:t>Električna burmašina</w:t>
                  </w: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it-IT"/>
                    </w:rPr>
                    <w:t xml:space="preserve"> 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1F2E9F" w:rsidRDefault="001F2E9F" w:rsidP="001F2E9F">
                  <w:r w:rsidRPr="00167933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1F2E9F" w:rsidRPr="00A93220" w:rsidRDefault="001F2E9F" w:rsidP="001F2E9F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1</w:t>
                  </w:r>
                </w:p>
              </w:tc>
            </w:tr>
            <w:tr w:rsidR="00A93220" w:rsidRPr="00A93220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val="sq-AL" w:eastAsia="sr-Latn-CS"/>
                    </w:rPr>
                    <w:t>19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A93220" w:rsidRPr="00A93220" w:rsidRDefault="00594629" w:rsidP="00594629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highlight w:val="yellow"/>
                      <w:lang w:val="sq-AL" w:eastAsia="it-IT"/>
                    </w:rPr>
                  </w:pP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Sredstva za električni rad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 xml:space="preserve"> (</w:t>
                  </w:r>
                  <w:r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šafcigeri,klešta,skalperi za luštenje kablova itd.</w:t>
                  </w:r>
                  <w:r w:rsidR="00A93220" w:rsidRPr="00A93220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val="sq-AL" w:eastAsia="sr-Latn-CS"/>
                    </w:rPr>
                    <w:t>...)</w:t>
                  </w:r>
                </w:p>
              </w:tc>
              <w:tc>
                <w:tcPr>
                  <w:tcW w:w="988" w:type="pct"/>
                  <w:shd w:val="clear" w:color="auto" w:fill="auto"/>
                  <w:vAlign w:val="center"/>
                </w:tcPr>
                <w:p w:rsidR="00A93220" w:rsidRPr="00A93220" w:rsidRDefault="00A93220" w:rsidP="001F2E9F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komplet</w:t>
                  </w:r>
                  <w:r w:rsidR="001F2E9F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a</w:t>
                  </w:r>
                </w:p>
              </w:tc>
              <w:tc>
                <w:tcPr>
                  <w:tcW w:w="836" w:type="pct"/>
                  <w:shd w:val="clear" w:color="auto" w:fill="auto"/>
                  <w:vAlign w:val="center"/>
                </w:tcPr>
                <w:p w:rsidR="00A93220" w:rsidRPr="00A93220" w:rsidRDefault="00A93220" w:rsidP="00A93220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A93220"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2</w:t>
                  </w:r>
                </w:p>
              </w:tc>
            </w:tr>
          </w:tbl>
          <w:p w:rsidR="00A93220" w:rsidRPr="00A93220" w:rsidRDefault="00A93220" w:rsidP="00A93220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kern w:val="0"/>
                <w:sz w:val="22"/>
                <w:szCs w:val="22"/>
                <w:lang w:val="sq-AL" w:eastAsia="sr-Latn-CS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Pr="0031327D" w:rsidRDefault="00FB0FAC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74953">
              <w:rPr>
                <w:sz w:val="24"/>
                <w:szCs w:val="24"/>
                <w:lang w:val="sr-Latn-BA"/>
              </w:rPr>
              <w:t>3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 </w:t>
            </w:r>
            <w:r w:rsidR="00674953">
              <w:rPr>
                <w:sz w:val="24"/>
                <w:szCs w:val="24"/>
                <w:lang w:val="sr-Latn-BA"/>
              </w:rPr>
              <w:t xml:space="preserve">( tri) </w:t>
            </w:r>
            <w:r w:rsidR="00D00053">
              <w:rPr>
                <w:color w:val="3333FF"/>
                <w:sz w:val="22"/>
                <w:szCs w:val="22"/>
              </w:rPr>
              <w:t xml:space="preserve"> (od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AF5FF4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>
              <w:rPr>
                <w:bCs/>
                <w:color w:val="3333FF"/>
                <w:sz w:val="22"/>
                <w:szCs w:val="22"/>
              </w:rPr>
              <w:t>2.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Jednu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potvrdu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potpisanu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od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strane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poreske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mesta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ekonomskog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operatera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, u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dotični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operater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ne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kasni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podmi</w:t>
            </w:r>
            <w:r w:rsidR="00BF5AA9">
              <w:rPr>
                <w:bCs/>
                <w:color w:val="3333FF"/>
                <w:sz w:val="22"/>
                <w:szCs w:val="22"/>
              </w:rPr>
              <w:t>rivanju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poreskih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obaveza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najma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>nje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 u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poslednjem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tromesečju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 pre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predaje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AF5FF4" w:rsidRDefault="00AF5FF4" w:rsidP="00AF5FF4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  <w:r>
              <w:rPr>
                <w:bCs/>
                <w:color w:val="3333FF"/>
                <w:sz w:val="22"/>
                <w:szCs w:val="22"/>
              </w:rPr>
              <w:t>2..</w:t>
            </w:r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Izjava pod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zakletvom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podnosioc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ispunjava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sve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zahteve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konkurisanje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 br. </w:t>
            </w:r>
            <w:r w:rsidR="00B64630" w:rsidRPr="00AF5FF4">
              <w:rPr>
                <w:color w:val="3333FF"/>
                <w:sz w:val="22"/>
                <w:szCs w:val="22"/>
              </w:rPr>
              <w:t xml:space="preserve">04/L-042,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član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65,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uz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korišćenje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obrasca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iz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Aneksa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2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Dosijea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Tender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da se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predaju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 </w:t>
            </w:r>
            <w:r w:rsidR="00B64630" w:rsidRPr="00AF5FF4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2003A1" w:rsidRPr="00B64630" w:rsidRDefault="002003A1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570077" w:rsidRDefault="00B64630" w:rsidP="00570077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570077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570077">
              <w:rPr>
                <w:sz w:val="22"/>
                <w:szCs w:val="22"/>
                <w:lang w:val="sr-Latn-RS"/>
              </w:rPr>
              <w:t xml:space="preserve"> </w:t>
            </w:r>
          </w:p>
          <w:p w:rsidR="00570077" w:rsidRPr="00570077" w:rsidRDefault="00570077" w:rsidP="00570077">
            <w:pPr>
              <w:pStyle w:val="ListParagraph"/>
              <w:numPr>
                <w:ilvl w:val="0"/>
                <w:numId w:val="14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570077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</w:p>
          <w:p w:rsidR="00570077" w:rsidRPr="00570077" w:rsidRDefault="00570077" w:rsidP="00570077">
            <w:pPr>
              <w:pStyle w:val="ListParagraph"/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570077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570077" w:rsidRPr="00570077" w:rsidRDefault="00570077" w:rsidP="00570077">
            <w:pPr>
              <w:pStyle w:val="ListParagraph"/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570077">
              <w:rPr>
                <w:bCs/>
                <w:color w:val="3333FF"/>
                <w:sz w:val="22"/>
                <w:szCs w:val="22"/>
                <w:lang w:val="sr-Latn-RS"/>
              </w:rPr>
              <w:t>Uvernje o PDV  .....................................................................................................................  ( kopija )</w:t>
            </w:r>
          </w:p>
          <w:p w:rsidR="00570077" w:rsidRPr="00B64630" w:rsidRDefault="00570077" w:rsidP="00570077">
            <w:pPr>
              <w:ind w:left="720"/>
              <w:rPr>
                <w:bCs/>
                <w:color w:val="3333FF"/>
                <w:sz w:val="22"/>
                <w:szCs w:val="22"/>
                <w:lang w:val="sr-Latn-RS"/>
              </w:rPr>
            </w:pPr>
          </w:p>
          <w:p w:rsidR="002003A1" w:rsidRPr="0031327D" w:rsidRDefault="002003A1" w:rsidP="00FB0FAC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FC25C9" w:rsidRDefault="00FC25C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B77BC" w:rsidRDefault="005B77BC" w:rsidP="005B77B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 snabdevanja kao u nazivu ovog Obaveštenja tokom zadnje tri godine 2014,2015,2016 (najmanje jedan preporuke) koje odražavaju vrednost snabdevanja praćene ugovorom o snabdevanju, i realizirane u oblasti delatnosti istih s preporukom ………… </w:t>
            </w:r>
            <w:r>
              <w:rPr>
                <w:bCs/>
                <w:iCs/>
                <w:color w:val="FF0000"/>
                <w:sz w:val="24"/>
                <w:szCs w:val="24"/>
                <w:lang w:val="sr-Latn-CS"/>
              </w:rPr>
              <w:t>(kopiju).</w:t>
            </w:r>
            <w:r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</w:t>
            </w:r>
          </w:p>
          <w:p w:rsidR="005B77BC" w:rsidRDefault="005B77BC" w:rsidP="005B77BC">
            <w:pPr>
              <w:widowControl/>
              <w:overflowPunct/>
              <w:autoSpaceDE/>
              <w:adjustRightInd/>
              <w:spacing w:after="240"/>
              <w:jc w:val="both"/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Traženi dokumentovani dokazi:</w:t>
            </w:r>
          </w:p>
          <w:p w:rsidR="005B77BC" w:rsidRDefault="005B77BC" w:rsidP="005B77BC">
            <w:pPr>
              <w:widowControl/>
              <w:overflowPunct/>
              <w:autoSpaceDE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</w:p>
          <w:p w:rsidR="00B64630" w:rsidRPr="005B77BC" w:rsidRDefault="005B77BC" w:rsidP="005B77BC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5B77BC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 snabdevanja kao u nazivu ovog Obaveštenja tokom zadnje tri godine (2014,2015,2016) minimum 1 (jedan) preporuke koje odražavaju vrednost snabdevanja praćene ugovorom o snabdevanju, i realizirane u oblasti delatnosti istih s preporukom </w:t>
            </w:r>
            <w:r w:rsidRPr="005B77BC">
              <w:rPr>
                <w:bCs/>
                <w:iCs/>
                <w:color w:val="FF0000"/>
                <w:sz w:val="24"/>
                <w:szCs w:val="24"/>
                <w:lang w:val="sr-Latn-CS"/>
              </w:rPr>
              <w:t>………… (kopiju)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lastRenderedPageBreak/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lastRenderedPageBreak/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5A576B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030CD0">
              <w:rPr>
                <w:b/>
                <w:color w:val="3333FF"/>
                <w:sz w:val="22"/>
                <w:szCs w:val="22"/>
              </w:rPr>
              <w:t>29</w:t>
            </w:r>
            <w:r w:rsidR="005A576B">
              <w:rPr>
                <w:b/>
                <w:color w:val="3333FF"/>
                <w:sz w:val="22"/>
                <w:szCs w:val="22"/>
              </w:rPr>
              <w:t>.06.2017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030CD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030CD0">
              <w:rPr>
                <w:b/>
                <w:color w:val="3333FF"/>
                <w:sz w:val="22"/>
                <w:szCs w:val="22"/>
              </w:rPr>
              <w:t>03.07</w:t>
            </w:r>
            <w:r w:rsidR="005A576B">
              <w:rPr>
                <w:b/>
                <w:color w:val="3333FF"/>
                <w:sz w:val="22"/>
                <w:szCs w:val="22"/>
              </w:rPr>
              <w:t xml:space="preserve">.2017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030CD0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030CD0">
              <w:rPr>
                <w:b/>
                <w:color w:val="3333FF"/>
                <w:sz w:val="22"/>
                <w:szCs w:val="22"/>
              </w:rPr>
              <w:t>03.07</w:t>
            </w:r>
            <w:r w:rsidR="005A576B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D6" w:rsidRDefault="00254FD6">
      <w:r>
        <w:separator/>
      </w:r>
    </w:p>
  </w:endnote>
  <w:endnote w:type="continuationSeparator" w:id="0">
    <w:p w:rsidR="00254FD6" w:rsidRDefault="002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Pr="008E7756" w:rsidRDefault="00D0005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D00053" w:rsidRPr="008E7756" w:rsidRDefault="00D0005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D00053" w:rsidRPr="008E7756" w:rsidRDefault="00D0005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D6" w:rsidRDefault="00254FD6">
      <w:r>
        <w:separator/>
      </w:r>
    </w:p>
  </w:footnote>
  <w:footnote w:type="continuationSeparator" w:id="0">
    <w:p w:rsidR="00254FD6" w:rsidRDefault="0025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Default="00D00053">
    <w:pPr>
      <w:tabs>
        <w:tab w:val="center" w:pos="4320"/>
        <w:tab w:val="right" w:pos="8640"/>
      </w:tabs>
      <w:rPr>
        <w:kern w:val="0"/>
      </w:rPr>
    </w:pPr>
  </w:p>
  <w:p w:rsidR="00D00053" w:rsidRDefault="00D0005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3624"/>
    <w:multiLevelType w:val="hybridMultilevel"/>
    <w:tmpl w:val="013E1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39DA"/>
    <w:multiLevelType w:val="hybridMultilevel"/>
    <w:tmpl w:val="6792CCCA"/>
    <w:lvl w:ilvl="0" w:tplc="32FC44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9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30CD0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4C83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3203B"/>
    <w:rsid w:val="001322C0"/>
    <w:rsid w:val="00145339"/>
    <w:rsid w:val="001739F3"/>
    <w:rsid w:val="00175CB9"/>
    <w:rsid w:val="0017685F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2E9F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54FD6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2F2E17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D655F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0077"/>
    <w:rsid w:val="00574537"/>
    <w:rsid w:val="00576641"/>
    <w:rsid w:val="00581E95"/>
    <w:rsid w:val="00582C98"/>
    <w:rsid w:val="0058751B"/>
    <w:rsid w:val="00594629"/>
    <w:rsid w:val="00597466"/>
    <w:rsid w:val="005A195A"/>
    <w:rsid w:val="005A21D2"/>
    <w:rsid w:val="005A576B"/>
    <w:rsid w:val="005B0437"/>
    <w:rsid w:val="005B77BC"/>
    <w:rsid w:val="005C3627"/>
    <w:rsid w:val="005C3B4D"/>
    <w:rsid w:val="005D050A"/>
    <w:rsid w:val="005D05C3"/>
    <w:rsid w:val="005D218B"/>
    <w:rsid w:val="005D6622"/>
    <w:rsid w:val="005E0B07"/>
    <w:rsid w:val="005E1727"/>
    <w:rsid w:val="005E1F11"/>
    <w:rsid w:val="005F2490"/>
    <w:rsid w:val="005F53F8"/>
    <w:rsid w:val="005F6995"/>
    <w:rsid w:val="00600959"/>
    <w:rsid w:val="0060284F"/>
    <w:rsid w:val="006106FA"/>
    <w:rsid w:val="00625D89"/>
    <w:rsid w:val="006260A1"/>
    <w:rsid w:val="00632F45"/>
    <w:rsid w:val="00642B0F"/>
    <w:rsid w:val="00647D43"/>
    <w:rsid w:val="006604D9"/>
    <w:rsid w:val="00664769"/>
    <w:rsid w:val="00674953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7E75EA"/>
    <w:rsid w:val="0081537F"/>
    <w:rsid w:val="008153B5"/>
    <w:rsid w:val="00816300"/>
    <w:rsid w:val="00824E6A"/>
    <w:rsid w:val="00825510"/>
    <w:rsid w:val="00831EE3"/>
    <w:rsid w:val="0083569F"/>
    <w:rsid w:val="00841E8B"/>
    <w:rsid w:val="008424EE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C731F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93220"/>
    <w:rsid w:val="00AA3073"/>
    <w:rsid w:val="00AA3143"/>
    <w:rsid w:val="00AB7C94"/>
    <w:rsid w:val="00AC04EB"/>
    <w:rsid w:val="00AD6780"/>
    <w:rsid w:val="00AE1EAA"/>
    <w:rsid w:val="00AE3153"/>
    <w:rsid w:val="00AE3B19"/>
    <w:rsid w:val="00AF3405"/>
    <w:rsid w:val="00AF41C1"/>
    <w:rsid w:val="00AF5FF4"/>
    <w:rsid w:val="00B0143D"/>
    <w:rsid w:val="00B111F7"/>
    <w:rsid w:val="00B14AAA"/>
    <w:rsid w:val="00B176FE"/>
    <w:rsid w:val="00B21BFE"/>
    <w:rsid w:val="00B26C2D"/>
    <w:rsid w:val="00B26EC4"/>
    <w:rsid w:val="00B277CB"/>
    <w:rsid w:val="00B37600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A5D2A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06FB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243B8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0ED9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2FB2-B98A-4EBA-9308-8342C3F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2017-06-23T07:47:00Z</dcterms:created>
  <dcterms:modified xsi:type="dcterms:W3CDTF">2017-06-23T07:47:00Z</dcterms:modified>
</cp:coreProperties>
</file>