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D708E5">
      <w:pPr>
        <w:jc w:val="center"/>
        <w:rPr>
          <w:b/>
          <w:color w:val="3333FF"/>
          <w:sz w:val="24"/>
          <w:szCs w:val="24"/>
          <w:lang w:val="sr-Latn-BA"/>
        </w:rPr>
      </w:pPr>
      <w:r>
        <w:rPr>
          <w:b/>
          <w:color w:val="3333FF"/>
          <w:sz w:val="24"/>
          <w:szCs w:val="24"/>
          <w:lang w:val="sr-Latn-BA"/>
        </w:rPr>
        <w:t>USLUGE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A53C58">
        <w:rPr>
          <w:b/>
          <w:bCs/>
          <w:color w:val="3333FF"/>
          <w:sz w:val="24"/>
          <w:szCs w:val="24"/>
          <w:lang w:val="sr-Latn-BA"/>
        </w:rPr>
        <w:t>17.05</w:t>
      </w:r>
      <w:r w:rsidR="00FC25C9">
        <w:rPr>
          <w:b/>
          <w:bCs/>
          <w:color w:val="3333FF"/>
          <w:sz w:val="24"/>
          <w:szCs w:val="24"/>
          <w:lang w:val="sr-Latn-BA"/>
        </w:rPr>
        <w:t>.</w:t>
      </w:r>
      <w:r w:rsidR="004031B3" w:rsidRPr="004031B3">
        <w:rPr>
          <w:b/>
          <w:bCs/>
          <w:color w:val="3333FF"/>
          <w:sz w:val="24"/>
          <w:szCs w:val="24"/>
          <w:lang w:val="sr-Latn-BA"/>
        </w:rPr>
        <w:t>201</w:t>
      </w:r>
      <w:r w:rsidR="00CA1E9D">
        <w:rPr>
          <w:b/>
          <w:bCs/>
          <w:color w:val="3333FF"/>
          <w:sz w:val="24"/>
          <w:szCs w:val="24"/>
          <w:lang w:val="sr-Latn-BA"/>
        </w:rPr>
        <w:t>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CA1E9D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CA1E9D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0</w:t>
            </w:r>
            <w:r w:rsidR="00D708E5">
              <w:rPr>
                <w:b/>
                <w:bCs/>
                <w:color w:val="3333FF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D708E5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  <w:r w:rsidR="004031B3"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AE28A2">
              <w:rPr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  <w:bookmarkStart w:id="5" w:name="_GoBack"/>
      <w:bookmarkEnd w:id="5"/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2E7104" w:rsidRDefault="002E7104" w:rsidP="00133C68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,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servis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snabdevanje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rezervnim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delovima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IT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opremu</w:t>
            </w: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ve</w:t>
            </w:r>
            <w:proofErr w:type="spellEnd"/>
            <w:r w:rsidR="00A53C58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- </w:t>
            </w:r>
            <w:proofErr w:type="spellStart"/>
            <w:r w:rsidR="00A53C58">
              <w:rPr>
                <w:rFonts w:ascii="Arial" w:hAnsi="Arial" w:cs="Arial"/>
                <w:b/>
                <w:color w:val="3333FF"/>
                <w:shd w:val="clear" w:color="auto" w:fill="FFFFFF"/>
              </w:rPr>
              <w:t>ritender</w:t>
            </w:r>
            <w:proofErr w:type="spellEnd"/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02EEE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802EEE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02EEE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400D3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802EEE" w:rsidP="00547255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Pr="004031B3">
              <w:rPr>
                <w:color w:val="3333FF"/>
                <w:sz w:val="24"/>
                <w:szCs w:val="24"/>
                <w:lang w:val="sr-Latn-BA"/>
              </w:rPr>
              <w:t>itrn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2E7104" w:rsidRPr="0031327D" w:rsidRDefault="002E7104" w:rsidP="008C731F">
            <w:pPr>
              <w:rPr>
                <w:sz w:val="24"/>
                <w:szCs w:val="24"/>
                <w:lang w:val="sr-Latn-BA"/>
              </w:rPr>
            </w:pP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,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servis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snabdevanje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rezervnim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delovima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za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IT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opremu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ve</w:t>
            </w:r>
            <w:proofErr w:type="spellEnd"/>
            <w:r w:rsidR="00A53C58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- </w:t>
            </w:r>
            <w:proofErr w:type="spellStart"/>
            <w:r w:rsidR="00A53C58">
              <w:rPr>
                <w:rFonts w:ascii="Arial" w:hAnsi="Arial" w:cs="Arial"/>
                <w:b/>
                <w:color w:val="3333FF"/>
                <w:shd w:val="clear" w:color="auto" w:fill="FFFFFF"/>
              </w:rPr>
              <w:t>ritender</w:t>
            </w:r>
            <w:proofErr w:type="spellEnd"/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2E7104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30</w:t>
            </w:r>
            <w:r w:rsidR="00FC25C9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00 00 - 9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974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A73A7E">
              <w:rPr>
                <w:b/>
                <w:bCs/>
                <w:color w:val="3333FF"/>
                <w:sz w:val="24"/>
                <w:szCs w:val="24"/>
              </w:rPr>
              <w:t>9,99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8F5A7A" w:rsidRPr="00FA0EC5" w:rsidTr="00D6103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8F5A7A" w:rsidRPr="00FA0EC5" w:rsidRDefault="008F5A7A" w:rsidP="00D610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Br. </w:t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porcija</w:t>
                  </w:r>
                  <w:proofErr w:type="spellEnd"/>
                </w:p>
              </w:tc>
              <w:tc>
                <w:tcPr>
                  <w:tcW w:w="4521" w:type="dxa"/>
                </w:tcPr>
                <w:p w:rsidR="008F5A7A" w:rsidRPr="00FA0EC5" w:rsidRDefault="008F5A7A" w:rsidP="00D6103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kratak</w:t>
                  </w:r>
                  <w:proofErr w:type="spellEnd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opis</w:t>
                  </w:r>
                  <w:proofErr w:type="spellEnd"/>
                  <w:r w:rsidRPr="008F5A7A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Održavanje</w:t>
                  </w:r>
                  <w:proofErr w:type="spellEnd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 xml:space="preserve"> i </w:t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servisiranje</w:t>
                  </w:r>
                  <w:proofErr w:type="spellEnd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štampača</w:t>
                  </w:r>
                  <w:proofErr w:type="spellEnd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 xml:space="preserve"> u KAJB </w:t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vrsta</w:t>
                  </w:r>
                  <w:proofErr w:type="spellEnd"/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21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Plotter HP </w:t>
                  </w:r>
                  <w:proofErr w:type="spellStart"/>
                  <w:r>
                    <w:rPr>
                      <w:sz w:val="24"/>
                      <w:szCs w:val="24"/>
                    </w:rPr>
                    <w:t>Designjet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500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21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Card Printer Ribbon PI -110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21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I-</w:t>
                  </w:r>
                  <w:proofErr w:type="spellStart"/>
                  <w:r>
                    <w:rPr>
                      <w:sz w:val="24"/>
                      <w:szCs w:val="24"/>
                    </w:rPr>
                    <w:t>Sensys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MF 4140/4010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21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I-</w:t>
                  </w:r>
                  <w:proofErr w:type="spellStart"/>
                  <w:r>
                    <w:rPr>
                      <w:sz w:val="24"/>
                      <w:szCs w:val="24"/>
                    </w:rPr>
                    <w:t>Sensys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MF 4570 </w:t>
                  </w:r>
                  <w:proofErr w:type="spellStart"/>
                  <w:r>
                    <w:rPr>
                      <w:sz w:val="24"/>
                      <w:szCs w:val="24"/>
                    </w:rPr>
                    <w:t>dn</w:t>
                  </w:r>
                  <w:proofErr w:type="spellEnd"/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MF 3220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– IR 7105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–IR 2270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–IR 2016 J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Canon NP 6320 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LBT 5000/5050</w:t>
                  </w:r>
                </w:p>
              </w:tc>
            </w:tr>
          </w:tbl>
          <w:p w:rsidR="002C5595" w:rsidRPr="0031327D" w:rsidRDefault="002C5595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Default="009C2BE8">
      <w:pPr>
        <w:rPr>
          <w:sz w:val="24"/>
          <w:szCs w:val="24"/>
          <w:lang w:val="sr-Latn-BA"/>
        </w:rPr>
      </w:pPr>
    </w:p>
    <w:p w:rsidR="008F5A7A" w:rsidRDefault="008F5A7A">
      <w:pPr>
        <w:rPr>
          <w:sz w:val="24"/>
          <w:szCs w:val="24"/>
          <w:lang w:val="sr-Latn-BA"/>
        </w:rPr>
      </w:pPr>
    </w:p>
    <w:p w:rsidR="008F5A7A" w:rsidRDefault="008F5A7A">
      <w:pPr>
        <w:rPr>
          <w:sz w:val="24"/>
          <w:szCs w:val="24"/>
          <w:lang w:val="sr-Latn-BA"/>
        </w:rPr>
      </w:pPr>
    </w:p>
    <w:p w:rsidR="008F5A7A" w:rsidRPr="0031327D" w:rsidRDefault="008F5A7A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lastRenderedPageBreak/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( Od </w:t>
            </w:r>
            <w:proofErr w:type="spellStart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>potpisivanja</w:t>
            </w:r>
            <w:proofErr w:type="spellEnd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>ugovora</w:t>
            </w:r>
            <w:proofErr w:type="spellEnd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 ) </w:t>
            </w:r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12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meseci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nakon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potpisivanja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ugovora</w:t>
            </w:r>
            <w:proofErr w:type="spellEnd"/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6617F3" w:rsidRPr="0078435B" w:rsidRDefault="00C5145B" w:rsidP="00AF5FF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Potpisana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izjava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poreske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administracije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iz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zemlje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ekonomskog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operatera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,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ekonomski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operater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ne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kasni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plaćanju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poreza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najmanje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do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poslednjeg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tromesečja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godine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pre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podnošenja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tendera</w:t>
            </w:r>
            <w:proofErr w:type="spellEnd"/>
            <w:r w:rsidRPr="00C5145B">
              <w:rPr>
                <w:rStyle w:val="apple-converted-space"/>
                <w:rFonts w:ascii="Arial" w:hAnsi="Arial" w:cs="Arial"/>
                <w:color w:val="3333FF"/>
                <w:shd w:val="clear" w:color="auto" w:fill="FFFFFF"/>
              </w:rPr>
              <w:t> </w:t>
            </w:r>
          </w:p>
          <w:p w:rsidR="006617F3" w:rsidRDefault="006617F3" w:rsidP="00AF5FF4">
            <w:pPr>
              <w:widowControl/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</w:p>
          <w:p w:rsidR="00AF5FF4" w:rsidRPr="00B64630" w:rsidRDefault="00B64630" w:rsidP="00AF5FF4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AF5FF4" w:rsidRPr="00B64630">
              <w:rPr>
                <w:b/>
                <w:sz w:val="24"/>
                <w:szCs w:val="24"/>
                <w:lang w:val="sr-Latn-RS"/>
              </w:rPr>
              <w:t xml:space="preserve">         Traže se dokumentovani dokazi :</w:t>
            </w:r>
          </w:p>
          <w:p w:rsidR="00B64630" w:rsidRPr="00B64630" w:rsidRDefault="00B64630" w:rsidP="00AF5FF4">
            <w:pPr>
              <w:ind w:left="510"/>
              <w:rPr>
                <w:bCs/>
                <w:color w:val="3333FF"/>
                <w:sz w:val="22"/>
                <w:szCs w:val="22"/>
              </w:rPr>
            </w:pPr>
          </w:p>
          <w:p w:rsidR="006617F3" w:rsidRPr="006617F3" w:rsidRDefault="006617F3" w:rsidP="006617F3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proofErr w:type="spellStart"/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nën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betim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q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tenderuesi</w:t>
            </w:r>
            <w:proofErr w:type="spellEnd"/>
            <w:r w:rsidRPr="00E2638E">
              <w:rPr>
                <w:color w:val="3333FF"/>
              </w:rPr>
              <w:t xml:space="preserve"> i </w:t>
            </w:r>
            <w:proofErr w:type="spellStart"/>
            <w:r w:rsidRPr="00E2638E">
              <w:rPr>
                <w:color w:val="3333FF"/>
              </w:rPr>
              <w:t>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konkurruar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sipas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Ligjit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Prokurimin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Publik</w:t>
            </w:r>
            <w:proofErr w:type="spellEnd"/>
            <w:r w:rsidRPr="00E2638E">
              <w:rPr>
                <w:color w:val="3333FF"/>
              </w:rPr>
              <w:t xml:space="preserve"> nr. 04/L-042, </w:t>
            </w:r>
            <w:proofErr w:type="spellStart"/>
            <w:r w:rsidRPr="00E2638E">
              <w:rPr>
                <w:color w:val="3333FF"/>
              </w:rPr>
              <w:t>Neni</w:t>
            </w:r>
            <w:proofErr w:type="spellEnd"/>
            <w:r w:rsidRPr="00E2638E">
              <w:rPr>
                <w:color w:val="3333FF"/>
              </w:rPr>
              <w:t xml:space="preserve"> 65, duke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Aneksin</w:t>
            </w:r>
            <w:proofErr w:type="spellEnd"/>
            <w:r w:rsidRPr="00E2638E">
              <w:rPr>
                <w:color w:val="3333FF"/>
              </w:rPr>
              <w:t xml:space="preserve"> 2 </w:t>
            </w:r>
            <w:proofErr w:type="spellStart"/>
            <w:r w:rsidRPr="00E2638E">
              <w:rPr>
                <w:color w:val="3333FF"/>
              </w:rPr>
              <w:t>t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Dosjes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Tenderit</w:t>
            </w:r>
            <w:proofErr w:type="spellEnd"/>
            <w:r w:rsidRPr="00E2638E">
              <w:rPr>
                <w:color w:val="3333FF"/>
              </w:rPr>
              <w:t xml:space="preserve">, </w:t>
            </w:r>
            <w:proofErr w:type="spellStart"/>
            <w:r w:rsidRPr="00E2638E">
              <w:rPr>
                <w:color w:val="3333FF"/>
              </w:rPr>
              <w:t>duhet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dorëzohet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në</w:t>
            </w:r>
            <w:proofErr w:type="spellEnd"/>
            <w:r w:rsidRPr="00E2638E">
              <w:rPr>
                <w:color w:val="3333FF"/>
              </w:rPr>
              <w:t xml:space="preserve">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 xml:space="preserve">( </w:t>
            </w:r>
            <w:proofErr w:type="spellStart"/>
            <w:r w:rsidRPr="00E2638E">
              <w:rPr>
                <w:color w:val="FF0000"/>
              </w:rPr>
              <w:t>Origjinal</w:t>
            </w:r>
            <w:proofErr w:type="spellEnd"/>
            <w:r w:rsidRPr="00E2638E">
              <w:rPr>
                <w:color w:val="FF0000"/>
              </w:rPr>
              <w:t xml:space="preserve"> )</w:t>
            </w:r>
          </w:p>
          <w:p w:rsidR="006617F3" w:rsidRPr="006617F3" w:rsidRDefault="006617F3" w:rsidP="006617F3">
            <w:pPr>
              <w:pStyle w:val="ListParagraph"/>
              <w:jc w:val="both"/>
              <w:rPr>
                <w:color w:val="3333FF"/>
              </w:rPr>
            </w:pPr>
          </w:p>
          <w:p w:rsidR="00B64630" w:rsidRPr="006617F3" w:rsidRDefault="006617F3" w:rsidP="006617F3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Potpisana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izjava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poreske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administracije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iz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zemlje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osnivanja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da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niste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zaostao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plaćanju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poreza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,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ovaj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sertifikat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mora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biti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ne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starija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od 90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kalendarskih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dana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od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dana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otvaranja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manifestacije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, ) ( da se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podnese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OP . </w:t>
            </w:r>
            <w:proofErr w:type="gram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EK .</w:t>
            </w:r>
            <w:proofErr w:type="gram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koji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ima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cilj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da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obezbedi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.............................</w:t>
            </w:r>
            <w:r w:rsidR="00B64630" w:rsidRPr="006617F3">
              <w:rPr>
                <w:color w:val="3333FF"/>
                <w:sz w:val="22"/>
                <w:szCs w:val="22"/>
              </w:rPr>
              <w:t xml:space="preserve">................( </w:t>
            </w:r>
            <w:r w:rsidR="00B64630" w:rsidRPr="006617F3">
              <w:rPr>
                <w:color w:val="FF0000"/>
                <w:sz w:val="22"/>
                <w:szCs w:val="22"/>
              </w:rPr>
              <w:t>Original )</w:t>
            </w:r>
          </w:p>
          <w:p w:rsidR="00B64630" w:rsidRPr="00B64630" w:rsidRDefault="00B64630" w:rsidP="0078435B">
            <w:pPr>
              <w:jc w:val="both"/>
              <w:rPr>
                <w:color w:val="3333FF"/>
                <w:sz w:val="22"/>
                <w:szCs w:val="22"/>
              </w:rPr>
            </w:pPr>
          </w:p>
          <w:p w:rsidR="002003A1" w:rsidRPr="00B64630" w:rsidRDefault="002003A1" w:rsidP="00AF5FF4">
            <w:pPr>
              <w:pStyle w:val="ListParagrap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187796" w:rsidRDefault="00B64630" w:rsidP="00187796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187796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187796">
              <w:rPr>
                <w:sz w:val="22"/>
                <w:szCs w:val="22"/>
                <w:lang w:val="sr-Latn-RS"/>
              </w:rPr>
              <w:t xml:space="preserve"> </w:t>
            </w:r>
          </w:p>
          <w:p w:rsidR="00187796" w:rsidRDefault="00187796" w:rsidP="00187796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>
              <w:rPr>
                <w:color w:val="3333FF"/>
                <w:sz w:val="22"/>
                <w:szCs w:val="22"/>
                <w:lang w:val="sr-Latn-CS"/>
              </w:rPr>
              <w:t xml:space="preserve">Uverenje o PDV  ( validna ) </w:t>
            </w:r>
            <w:r>
              <w:rPr>
                <w:b/>
                <w:sz w:val="24"/>
                <w:szCs w:val="24"/>
                <w:lang w:val="sr-Latn-RS"/>
              </w:rPr>
              <w:t xml:space="preserve">          </w:t>
            </w:r>
          </w:p>
          <w:p w:rsidR="00187796" w:rsidRPr="00187796" w:rsidRDefault="00187796" w:rsidP="00187796">
            <w:pPr>
              <w:pStyle w:val="ListParagraph"/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lastRenderedPageBreak/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187796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187796" w:rsidRPr="00187796" w:rsidRDefault="00187796" w:rsidP="00B64630">
            <w:pPr>
              <w:numPr>
                <w:ilvl w:val="0"/>
                <w:numId w:val="9"/>
              </w:numPr>
              <w:rPr>
                <w:bCs/>
                <w:color w:val="FF0000"/>
                <w:sz w:val="22"/>
                <w:szCs w:val="22"/>
                <w:lang w:val="sr-Latn-RS"/>
              </w:rPr>
            </w:pPr>
            <w:r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            </w:t>
            </w:r>
            <w:r w:rsidRPr="00187796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    (kopija)</w:t>
            </w:r>
          </w:p>
          <w:p w:rsidR="002003A1" w:rsidRPr="0031327D" w:rsidRDefault="002003A1" w:rsidP="00FB0FAC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2E7104">
        <w:trPr>
          <w:trHeight w:val="149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2E7104" w:rsidRPr="002E7104" w:rsidRDefault="002E7104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</w:p>
          <w:p w:rsidR="002E7104" w:rsidRDefault="002E7104" w:rsidP="000031B7">
            <w:pPr>
              <w:rPr>
                <w:rFonts w:ascii="Arial" w:hAnsi="Arial" w:cs="Arial"/>
                <w:b/>
                <w:color w:val="3333FF"/>
                <w:shd w:val="clear" w:color="auto" w:fill="FFFFFF"/>
              </w:rPr>
            </w:pP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1.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Pozivanje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obavljanje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iste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usluge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kao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što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naslovu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ovog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izveštaja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,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protekle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tri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godine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(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najmanje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dva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referentna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)</w:t>
            </w:r>
          </w:p>
          <w:p w:rsidR="002E7104" w:rsidRDefault="002E7104" w:rsidP="000031B7">
            <w:pPr>
              <w:rPr>
                <w:sz w:val="24"/>
                <w:szCs w:val="24"/>
                <w:lang w:val="sr-Latn-BA"/>
              </w:rPr>
            </w:pPr>
            <w:r w:rsidRPr="002E7104">
              <w:rPr>
                <w:rFonts w:ascii="Arial" w:hAnsi="Arial" w:cs="Arial"/>
                <w:b/>
                <w:color w:val="3333FF"/>
              </w:rPr>
              <w:br/>
            </w: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2.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Naručilac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kompanija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mora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imati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najmanje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2 (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dva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)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radnika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-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overenu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majstora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jednom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od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sertifikata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,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kao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što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: Canon, HP, KSEROKS Rico </w:t>
            </w:r>
          </w:p>
          <w:p w:rsidR="00B64630" w:rsidRDefault="00B64630" w:rsidP="000031B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2E7104" w:rsidRPr="0031327D" w:rsidRDefault="002E7104" w:rsidP="000031B7">
            <w:pPr>
              <w:rPr>
                <w:sz w:val="24"/>
                <w:szCs w:val="24"/>
                <w:lang w:val="sr-Latn-BA"/>
              </w:rPr>
            </w:pPr>
          </w:p>
          <w:p w:rsidR="00B64630" w:rsidRPr="002E7104" w:rsidRDefault="002E7104" w:rsidP="008F5A7A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1.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Pozivanje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obavljanje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iste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usluge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kao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što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naslovu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ovog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izveštaja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,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protekle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tri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godine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(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najma</w:t>
            </w: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nje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dve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reference</w:t>
            </w:r>
            <w:proofErr w:type="gram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) </w:t>
            </w:r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>...................................................................................</w:t>
            </w:r>
            <w:proofErr w:type="gramEnd"/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(</w:t>
            </w:r>
            <w:proofErr w:type="spellStart"/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>kopija</w:t>
            </w:r>
            <w:proofErr w:type="spellEnd"/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>)</w:t>
            </w:r>
            <w:r w:rsidRPr="002E7104">
              <w:rPr>
                <w:rFonts w:ascii="Arial" w:hAnsi="Arial" w:cs="Arial"/>
                <w:b/>
                <w:color w:val="3333FF"/>
              </w:rPr>
              <w:br/>
            </w: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2.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Naručilac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kompanija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mora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imati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najmanje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2 (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dva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)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radnika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-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overenu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majstora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jednom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od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sertifikata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,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kao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što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: Canon, HP, KSEROKS Rico </w:t>
            </w:r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-................................ </w:t>
            </w:r>
            <w:proofErr w:type="spellStart"/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>kopija</w:t>
            </w:r>
            <w:proofErr w:type="spellEnd"/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lastRenderedPageBreak/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lastRenderedPageBreak/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B0400" w:rsidRDefault="00B64630" w:rsidP="00BB0400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674953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A53C58">
              <w:rPr>
                <w:b/>
                <w:color w:val="3333FF"/>
                <w:sz w:val="22"/>
                <w:szCs w:val="22"/>
              </w:rPr>
              <w:t>22.05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67495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A1E9D" w:rsidRPr="00B64630">
              <w:rPr>
                <w:b/>
                <w:sz w:val="22"/>
                <w:szCs w:val="22"/>
                <w:lang w:val="sr-Latn-BA"/>
              </w:rPr>
              <w:t>D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atum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:  </w:t>
            </w:r>
            <w:r w:rsidR="00A53C58">
              <w:rPr>
                <w:b/>
                <w:color w:val="3333FF"/>
                <w:sz w:val="22"/>
                <w:szCs w:val="22"/>
              </w:rPr>
              <w:t>26.05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4B12FD" w:rsidRPr="003466FE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674953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A53C58">
              <w:rPr>
                <w:b/>
                <w:color w:val="3333FF"/>
                <w:sz w:val="22"/>
                <w:szCs w:val="22"/>
              </w:rPr>
              <w:t>26.05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Pr="005F6995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E" w:rsidRPr="008F5A7A" w:rsidRDefault="004142A8" w:rsidP="008F5A7A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</w:tc>
      </w:tr>
    </w:tbl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50103E" w:rsidRPr="00BB0400" w:rsidRDefault="0031327D" w:rsidP="00BB0400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3C" w:rsidRDefault="0047713C">
      <w:r>
        <w:separator/>
      </w:r>
    </w:p>
  </w:endnote>
  <w:endnote w:type="continuationSeparator" w:id="0">
    <w:p w:rsidR="0047713C" w:rsidRDefault="004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F3" w:rsidRPr="008E7756" w:rsidRDefault="006617F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6617F3" w:rsidRPr="008E7756" w:rsidRDefault="006617F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6617F3" w:rsidRPr="008E7756" w:rsidRDefault="006617F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3C" w:rsidRDefault="0047713C">
      <w:r>
        <w:separator/>
      </w:r>
    </w:p>
  </w:footnote>
  <w:footnote w:type="continuationSeparator" w:id="0">
    <w:p w:rsidR="0047713C" w:rsidRDefault="0047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F3" w:rsidRDefault="006617F3">
    <w:pPr>
      <w:tabs>
        <w:tab w:val="center" w:pos="4320"/>
        <w:tab w:val="right" w:pos="8640"/>
      </w:tabs>
      <w:rPr>
        <w:kern w:val="0"/>
      </w:rPr>
    </w:pPr>
  </w:p>
  <w:p w:rsidR="006617F3" w:rsidRDefault="006617F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3203B"/>
    <w:rsid w:val="00133C68"/>
    <w:rsid w:val="00145339"/>
    <w:rsid w:val="001739F3"/>
    <w:rsid w:val="00175CB9"/>
    <w:rsid w:val="0018041D"/>
    <w:rsid w:val="0018570F"/>
    <w:rsid w:val="00185F2D"/>
    <w:rsid w:val="00187796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C5595"/>
    <w:rsid w:val="002D1326"/>
    <w:rsid w:val="002D5184"/>
    <w:rsid w:val="002D7BF4"/>
    <w:rsid w:val="002E3F94"/>
    <w:rsid w:val="002E4207"/>
    <w:rsid w:val="002E694F"/>
    <w:rsid w:val="002E7104"/>
    <w:rsid w:val="002F006B"/>
    <w:rsid w:val="002F2E17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D655F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13C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97466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E1F11"/>
    <w:rsid w:val="005F2490"/>
    <w:rsid w:val="005F53F8"/>
    <w:rsid w:val="005F6995"/>
    <w:rsid w:val="00600959"/>
    <w:rsid w:val="006106FA"/>
    <w:rsid w:val="00625D89"/>
    <w:rsid w:val="006260A1"/>
    <w:rsid w:val="00632F45"/>
    <w:rsid w:val="00642B0F"/>
    <w:rsid w:val="00647D43"/>
    <w:rsid w:val="006604D9"/>
    <w:rsid w:val="006617F3"/>
    <w:rsid w:val="00664769"/>
    <w:rsid w:val="00674953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8435B"/>
    <w:rsid w:val="0079365C"/>
    <w:rsid w:val="007B17AA"/>
    <w:rsid w:val="007B4D5F"/>
    <w:rsid w:val="007C3FD5"/>
    <w:rsid w:val="007D142B"/>
    <w:rsid w:val="007D1D6B"/>
    <w:rsid w:val="007D6187"/>
    <w:rsid w:val="007E75EA"/>
    <w:rsid w:val="00802EEE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C731F"/>
    <w:rsid w:val="008E7756"/>
    <w:rsid w:val="008F1A11"/>
    <w:rsid w:val="008F5A7A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3C58"/>
    <w:rsid w:val="00A57BCB"/>
    <w:rsid w:val="00A73A7E"/>
    <w:rsid w:val="00A832E0"/>
    <w:rsid w:val="00A87877"/>
    <w:rsid w:val="00A87F08"/>
    <w:rsid w:val="00A90570"/>
    <w:rsid w:val="00AA3073"/>
    <w:rsid w:val="00AA3143"/>
    <w:rsid w:val="00AB7C94"/>
    <w:rsid w:val="00AC04EB"/>
    <w:rsid w:val="00AD6780"/>
    <w:rsid w:val="00AE1EAA"/>
    <w:rsid w:val="00AE28A2"/>
    <w:rsid w:val="00AE3153"/>
    <w:rsid w:val="00AE3B19"/>
    <w:rsid w:val="00AF3405"/>
    <w:rsid w:val="00AF41C1"/>
    <w:rsid w:val="00AF5FF4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B0400"/>
    <w:rsid w:val="00BB311B"/>
    <w:rsid w:val="00BB749A"/>
    <w:rsid w:val="00BC27BD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5145B"/>
    <w:rsid w:val="00C606FB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1E9D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708E5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0FAC"/>
    <w:rsid w:val="00FB2B91"/>
    <w:rsid w:val="00FC25C9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1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8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501D-735F-4AF6-910C-1E0958F6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2017-05-22T07:26:00Z</dcterms:created>
  <dcterms:modified xsi:type="dcterms:W3CDTF">2017-05-22T07:26:00Z</dcterms:modified>
</cp:coreProperties>
</file>