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C750FF">
        <w:rPr>
          <w:b/>
          <w:bCs/>
          <w:color w:val="3333FF"/>
          <w:sz w:val="24"/>
          <w:szCs w:val="24"/>
          <w:lang w:val="sr-Latn-BA"/>
        </w:rPr>
        <w:t>06.04</w:t>
      </w:r>
      <w:r w:rsidR="003C2F28">
        <w:rPr>
          <w:b/>
          <w:bCs/>
          <w:color w:val="3333FF"/>
          <w:sz w:val="24"/>
          <w:szCs w:val="24"/>
          <w:lang w:val="sr-Latn-BA"/>
        </w:rPr>
        <w:t>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750FF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757C15" w:rsidRDefault="002E4259" w:rsidP="002742B6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bookmarkStart w:id="5" w:name="_GoBack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HIDROSANITARNIM MATERIJALOM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2742B6" w:rsidP="00D00053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</w:t>
            </w:r>
            <w:proofErr w:type="spellEnd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sa</w:t>
            </w:r>
            <w:proofErr w:type="spellEnd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hidrosanitarnim</w:t>
            </w:r>
            <w:proofErr w:type="spellEnd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57C1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materijalom</w:t>
            </w:r>
            <w:proofErr w:type="spellEnd"/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C750FF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31.00 00 00 -</w:t>
            </w:r>
            <w:r w:rsidR="00757C15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6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757C15">
              <w:rPr>
                <w:b/>
                <w:bCs/>
                <w:color w:val="3333FF"/>
                <w:sz w:val="24"/>
                <w:szCs w:val="24"/>
              </w:rPr>
              <w:t>9,9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DC58F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DC58F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26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"/>
              <w:gridCol w:w="5212"/>
              <w:gridCol w:w="1843"/>
              <w:gridCol w:w="1559"/>
            </w:tblGrid>
            <w:tr w:rsidR="00C750FF" w:rsidRPr="006A3DB5" w:rsidTr="00C750FF">
              <w:trPr>
                <w:trHeight w:val="356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Br.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  <w:lang w:val="sr-Latn-BA"/>
                    </w:rPr>
                    <w:t>Ime Materijala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proofErr w:type="spellStart"/>
                  <w:r>
                    <w:rPr>
                      <w:rFonts w:eastAsia="MS Mincho"/>
                      <w:b/>
                    </w:rPr>
                    <w:t>Merna</w:t>
                  </w:r>
                  <w:proofErr w:type="spellEnd"/>
                  <w:r>
                    <w:rPr>
                      <w:rFonts w:eastAsia="MS Mincho"/>
                      <w:b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b/>
                    </w:rPr>
                    <w:t>jedinica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proofErr w:type="spellStart"/>
                  <w:r>
                    <w:rPr>
                      <w:rFonts w:eastAsia="MS Mincho"/>
                      <w:b/>
                    </w:rPr>
                    <w:t>Količina</w:t>
                  </w:r>
                  <w:proofErr w:type="spellEnd"/>
                </w:p>
              </w:tc>
            </w:tr>
            <w:tr w:rsidR="00C750FF" w:rsidRPr="006A3DB5" w:rsidTr="00C750FF">
              <w:trPr>
                <w:trHeight w:val="287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Pr="006A3DB5" w:rsidRDefault="00226C18" w:rsidP="00226C18">
                  <w:pPr>
                    <w:jc w:val="center"/>
                    <w:rPr>
                      <w:rFonts w:eastAsia="MS Mincho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C750FF" w:rsidRPr="006A3DB5" w:rsidTr="00C750FF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¾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C750FF" w:rsidRPr="006A3DB5" w:rsidTr="00C750FF">
              <w:trPr>
                <w:trHeight w:val="287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 FE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C750FF" w:rsidRPr="006A3DB5" w:rsidTr="00C750FF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226C18" w:rsidP="00226C18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Dupli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nipl</w:t>
                  </w:r>
                  <w:proofErr w:type="spellEnd"/>
                  <w:r w:rsidR="00C750FF">
                    <w:t xml:space="preserve"> FE 2” /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226C18" w:rsidP="00226C18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r w:rsidR="00C750FF">
                    <w:t>FE</w:t>
                  </w:r>
                  <w:proofErr w:type="spellEnd"/>
                  <w:r w:rsidR="00C750FF">
                    <w:t xml:space="preserve"> 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proofErr w:type="spellEnd"/>
                  <w:r w:rsidR="00C750FF">
                    <w:t xml:space="preserve"> FE 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proofErr w:type="spellEnd"/>
                  <w:r w:rsidR="00C750FF">
                    <w:t xml:space="preserve"> FE 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proofErr w:type="spellEnd"/>
                  <w:r w:rsidR="00C750FF">
                    <w:t xml:space="preserve"> FE 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proofErr w:type="spellEnd"/>
                  <w:r w:rsidR="00C750FF">
                    <w:t xml:space="preserve"> FE 1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AD1663" w:rsidP="00AD1663">
                  <w:proofErr w:type="spellStart"/>
                  <w:r>
                    <w:t>Teštika</w:t>
                  </w:r>
                  <w:proofErr w:type="spellEnd"/>
                  <w:r w:rsidR="00C750FF">
                    <w:t xml:space="preserve"> 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AD1663" w:rsidP="00AD1663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mesinga</w:t>
                  </w:r>
                  <w:proofErr w:type="spellEnd"/>
                  <w:r w:rsidR="00C750FF">
                    <w:t xml:space="preserve">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AD1663" w:rsidP="00AD1663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mesinga</w:t>
                  </w:r>
                  <w:proofErr w:type="spellEnd"/>
                  <w:r w:rsidR="00C750FF">
                    <w:t xml:space="preserve">  ¾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AD1663" w:rsidP="00AD1663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od mesinga</w:t>
                  </w:r>
                  <w:r w:rsidR="00C750FF">
                    <w:t>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AD1663" w:rsidP="00AD1663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od </w:t>
                  </w:r>
                  <w:proofErr w:type="spellStart"/>
                  <w:r>
                    <w:t>mesinga</w:t>
                  </w:r>
                  <w:proofErr w:type="spellEnd"/>
                  <w:r w:rsidR="00C750FF"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18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6A3DB5" w:rsidRDefault="00AD1663" w:rsidP="00AD1663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od </w:t>
                  </w:r>
                  <w:proofErr w:type="spellStart"/>
                  <w:r>
                    <w:t>mesinga</w:t>
                  </w:r>
                  <w:proofErr w:type="spellEnd"/>
                  <w:r w:rsidR="00C750FF"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6A3DB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19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C9502A" w:rsidRDefault="00AD1663" w:rsidP="00AD1663">
                  <w:pPr>
                    <w:rPr>
                      <w:highlight w:val="yellow"/>
                      <w:lang w:eastAsia="it-IT"/>
                    </w:rPr>
                  </w:pPr>
                  <w:proofErr w:type="spellStart"/>
                  <w:r>
                    <w:t>Koleno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mesinga</w:t>
                  </w:r>
                  <w:proofErr w:type="spellEnd"/>
                  <w:r w:rsidR="00C750FF">
                    <w:t xml:space="preserve">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20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C9502A" w:rsidRDefault="00C750FF" w:rsidP="00C750FF">
                  <w:pPr>
                    <w:rPr>
                      <w:highlight w:val="yellow"/>
                    </w:rPr>
                  </w:pPr>
                  <w:proofErr w:type="spellStart"/>
                  <w:r>
                    <w:t>Ventil</w:t>
                  </w:r>
                  <w:proofErr w:type="spellEnd"/>
                  <w:r>
                    <w:t xml:space="preserve">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AD1663" w:rsidP="00AD1663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lastRenderedPageBreak/>
                    <w:t>21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C9502A" w:rsidRDefault="00C750FF" w:rsidP="00C750FF">
                  <w:pPr>
                    <w:rPr>
                      <w:highlight w:val="yellow"/>
                    </w:rPr>
                  </w:pPr>
                  <w:proofErr w:type="spellStart"/>
                  <w:r>
                    <w:t>Ventil</w:t>
                  </w:r>
                  <w:proofErr w:type="spellEnd"/>
                  <w: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88771D" w:rsidP="0088771D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Pr="006A3DB5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22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C9502A" w:rsidRDefault="0088771D" w:rsidP="0088771D">
                  <w:pPr>
                    <w:rPr>
                      <w:highlight w:val="yellow"/>
                      <w:lang w:eastAsia="it-IT"/>
                    </w:rPr>
                  </w:pPr>
                  <w:proofErr w:type="spellStart"/>
                  <w:r>
                    <w:t>Aluminski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higijenski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 w:rsidR="00C750FF">
                    <w:t xml:space="preserve"> ½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88771D" w:rsidP="0088771D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23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AA50BF" w:rsidRDefault="001E38CE" w:rsidP="001E38CE">
                  <w:pPr>
                    <w:rPr>
                      <w:highlight w:val="yellow"/>
                      <w:vertAlign w:val="superscript"/>
                      <w:lang w:eastAsia="it-IT"/>
                    </w:rPr>
                  </w:pPr>
                  <w:proofErr w:type="spellStart"/>
                  <w:r>
                    <w:t>Aluminski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higijenski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cev</w:t>
                  </w:r>
                  <w:proofErr w:type="spellEnd"/>
                  <w:r w:rsidR="00C750FF"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88771D" w:rsidP="0088771D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Ekventil</w:t>
                  </w:r>
                  <w:proofErr w:type="spellEnd"/>
                  <w:r>
                    <w:t xml:space="preserve">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Ekventil</w:t>
                  </w:r>
                  <w:proofErr w:type="spellEnd"/>
                  <w: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88771D" w:rsidP="0088771D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Ekscentar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bateriju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88771D" w:rsidP="0088771D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E65FA3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Pisuar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Mehanizam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pisuar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Crevo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bateriju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L </w:t>
                  </w:r>
                  <w:proofErr w:type="spellStart"/>
                  <w:r>
                    <w:t>sifon</w:t>
                  </w:r>
                  <w:proofErr w:type="spellEnd"/>
                  <w:r>
                    <w:t xml:space="preserve"> </w:t>
                  </w:r>
                  <w:proofErr w:type="spellStart"/>
                  <w:r w:rsidR="001E38CE">
                    <w:t>za</w:t>
                  </w:r>
                  <w:proofErr w:type="spellEnd"/>
                  <w:r w:rsidR="001E38CE">
                    <w:t xml:space="preserve"> </w:t>
                  </w:r>
                  <w:proofErr w:type="spellStart"/>
                  <w:r w:rsidR="001E38CE">
                    <w:t>tuš</w:t>
                  </w:r>
                  <w:proofErr w:type="spellEnd"/>
                  <w:r w:rsidR="001E38CE">
                    <w:t xml:space="preserve"> </w:t>
                  </w:r>
                  <w:proofErr w:type="spellStart"/>
                  <w:r w:rsidR="001E38CE">
                    <w:t>kabine</w:t>
                  </w:r>
                  <w:proofErr w:type="spellEnd"/>
                  <w:r>
                    <w:t xml:space="preserve"> ( </w:t>
                  </w:r>
                  <w:proofErr w:type="spellStart"/>
                  <w:r>
                    <w:t>Harmonik</w:t>
                  </w:r>
                  <w:r w:rsidR="001E38CE">
                    <w:t>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Obična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češma</w:t>
                  </w:r>
                  <w:proofErr w:type="spellEnd"/>
                  <w:r w:rsidR="00C750FF">
                    <w:t xml:space="preserve">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Obična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češma</w:t>
                  </w:r>
                  <w:proofErr w:type="spellEnd"/>
                  <w:r w:rsidR="00C750FF">
                    <w:t xml:space="preserve"> 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403EDB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Tuš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baterija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mikser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Bateri</w:t>
                  </w:r>
                  <w:proofErr w:type="spellEnd"/>
                  <w:r>
                    <w:t xml:space="preserve"> mixer me </w:t>
                  </w:r>
                  <w:proofErr w:type="spellStart"/>
                  <w:r>
                    <w:t>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gypa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1E38CE" w:rsidP="001E38CE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Navodnjavanje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baštu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1E38CE" w:rsidP="001E38CE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Ambus</w:t>
                  </w:r>
                  <w:proofErr w:type="spellEnd"/>
                  <w:r>
                    <w:t xml:space="preserve"> </w:t>
                  </w:r>
                  <w:proofErr w:type="spellStart"/>
                  <w:r w:rsidR="00944AC4">
                    <w:t>šelna</w:t>
                  </w:r>
                  <w:proofErr w:type="spellEnd"/>
                  <w:r>
                    <w:t xml:space="preserve"> FE 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Ambus</w:t>
                  </w:r>
                  <w:proofErr w:type="spellEnd"/>
                  <w:r>
                    <w:t xml:space="preserve"> </w:t>
                  </w:r>
                  <w:proofErr w:type="spellStart"/>
                  <w:r w:rsidR="00944AC4">
                    <w:t>šelna</w:t>
                  </w:r>
                  <w:proofErr w:type="spellEnd"/>
                  <w:r>
                    <w:t xml:space="preserve">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Ambus</w:t>
                  </w:r>
                  <w:proofErr w:type="spellEnd"/>
                  <w:r>
                    <w:t xml:space="preserve"> </w:t>
                  </w:r>
                  <w:proofErr w:type="spellStart"/>
                  <w:r w:rsidR="00944AC4">
                    <w:t>šelna</w:t>
                  </w:r>
                  <w:proofErr w:type="spellEnd"/>
                  <w:r>
                    <w:t xml:space="preserve">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944AC4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Komplet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šrafciger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944AC4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Cevni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ključevi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944AC4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Bormašina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visokog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kvaliteta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Brusalic</w:t>
                  </w:r>
                  <w:r w:rsidR="00944AC4">
                    <w:t>a</w:t>
                  </w:r>
                  <w:proofErr w:type="spellEnd"/>
                  <w:r w:rsidR="00944AC4">
                    <w:t xml:space="preserve"> </w:t>
                  </w:r>
                  <w:proofErr w:type="spellStart"/>
                  <w:r w:rsidR="00944AC4">
                    <w:t>visokog</w:t>
                  </w:r>
                  <w:proofErr w:type="spellEnd"/>
                  <w:r w:rsidR="00944AC4">
                    <w:t xml:space="preserve"> </w:t>
                  </w:r>
                  <w:proofErr w:type="spellStart"/>
                  <w:r w:rsidR="00944AC4">
                    <w:t>kvaliteta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944AC4" w:rsidP="00944AC4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t>Klešta</w:t>
                  </w:r>
                  <w:proofErr w:type="spellEnd"/>
                  <w:r>
                    <w:t xml:space="preserve"> </w:t>
                  </w:r>
                  <w:r w:rsidR="00C750FF">
                    <w:t xml:space="preserve">( </w:t>
                  </w:r>
                  <w:proofErr w:type="spellStart"/>
                  <w:r w:rsidR="00C750FF">
                    <w:t>papagaj</w:t>
                  </w:r>
                  <w:proofErr w:type="spellEnd"/>
                  <w:r w:rsidR="00C750FF">
                    <w:t xml:space="preserve">) </w:t>
                  </w:r>
                  <w:proofErr w:type="spellStart"/>
                  <w:r>
                    <w:t>visokog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kvaliteta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par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55545A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 w:rsidRPr="0055545A"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44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944AC4" w:rsidP="00944AC4">
                  <w:pPr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Cirkulaciona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pumpa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 w:rsidR="00C750FF" w:rsidRPr="0055545A">
                    <w:rPr>
                      <w:lang w:eastAsia="it-IT"/>
                    </w:rPr>
                    <w:t>Willo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50/7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Pr="0055545A" w:rsidRDefault="00C750FF" w:rsidP="00C750FF">
                  <w:pPr>
                    <w:jc w:val="center"/>
                  </w:pPr>
                  <w:r w:rsidRPr="0055545A">
                    <w:t>2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45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944AC4" w:rsidP="00944AC4">
                  <w:proofErr w:type="spellStart"/>
                  <w:r>
                    <w:rPr>
                      <w:lang w:eastAsia="it-IT"/>
                    </w:rPr>
                    <w:t>Cirkulaciona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pumpa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 w:rsidR="00C750FF" w:rsidRPr="0055545A">
                    <w:rPr>
                      <w:lang w:eastAsia="it-IT"/>
                    </w:rPr>
                    <w:t>Willo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25/60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46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944AC4" w:rsidP="00944AC4">
                  <w:proofErr w:type="spellStart"/>
                  <w:r>
                    <w:rPr>
                      <w:lang w:eastAsia="it-IT"/>
                    </w:rPr>
                    <w:t>Cirkulaciona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pumpa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 w:rsidR="00C750FF" w:rsidRPr="0055545A">
                    <w:rPr>
                      <w:lang w:eastAsia="it-IT"/>
                    </w:rPr>
                    <w:t>Willo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RS 30/7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944AC4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47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944AC4" w:rsidP="00944AC4">
                  <w:proofErr w:type="spellStart"/>
                  <w:r>
                    <w:rPr>
                      <w:lang w:eastAsia="it-IT"/>
                    </w:rPr>
                    <w:t>Cirkulaciona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pumpa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 w:rsidR="00C750FF" w:rsidRPr="0055545A">
                    <w:rPr>
                      <w:lang w:eastAsia="it-IT"/>
                    </w:rPr>
                    <w:t>Willo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S 25/7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48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944AC4" w:rsidP="00944AC4">
                  <w:pPr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Cirkulaciona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pumpa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 w:rsidR="00C750FF" w:rsidRPr="0055545A">
                    <w:rPr>
                      <w:lang w:eastAsia="it-IT"/>
                    </w:rPr>
                    <w:t>Willo</w:t>
                  </w:r>
                  <w:proofErr w:type="spellEnd"/>
                  <w:r w:rsidR="00C750FF" w:rsidRPr="0055545A">
                    <w:rPr>
                      <w:lang w:eastAsia="it-IT"/>
                    </w:rPr>
                    <w:t xml:space="preserve"> Z 30-ZG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944AC4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49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C750FF" w:rsidP="00C750FF">
                  <w:pPr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Vazdušni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automatski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ventil</w:t>
                  </w:r>
                  <w:proofErr w:type="spellEnd"/>
                  <w:r>
                    <w:rPr>
                      <w:lang w:eastAsia="it-IT"/>
                    </w:rPr>
                    <w:t xml:space="preserve">  </w:t>
                  </w:r>
                  <w:proofErr w:type="spellStart"/>
                  <w:r>
                    <w:rPr>
                      <w:lang w:eastAsia="it-IT"/>
                    </w:rPr>
                    <w:t>za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radijator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50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C750FF" w:rsidP="00C750FF">
                  <w:pPr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Ventil</w:t>
                  </w:r>
                  <w:proofErr w:type="spellEnd"/>
                  <w:r w:rsidRPr="0055545A"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sa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termičkim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glavama</w:t>
                  </w:r>
                  <w:proofErr w:type="spellEnd"/>
                  <w:r w:rsidRPr="0055545A">
                    <w:rPr>
                      <w:lang w:eastAsia="it-IT"/>
                    </w:rPr>
                    <w:t xml:space="preserve"> (</w:t>
                  </w:r>
                  <w:proofErr w:type="spellStart"/>
                  <w:r>
                    <w:rPr>
                      <w:lang w:eastAsia="it-IT"/>
                    </w:rPr>
                    <w:t>termoregulator</w:t>
                  </w:r>
                  <w:proofErr w:type="spellEnd"/>
                  <w:r w:rsidRPr="0055545A">
                    <w:rPr>
                      <w:lang w:eastAsia="it-IT"/>
                    </w:rPr>
                    <w:t>)</w:t>
                  </w:r>
                  <w:r w:rsidRPr="0055545A">
                    <w:t xml:space="preserve"> ½ </w:t>
                  </w:r>
                  <w:r w:rsidRPr="0055545A">
                    <w:rPr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51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C750FF" w:rsidRPr="0055545A" w:rsidRDefault="00C750FF" w:rsidP="00C750FF">
                  <w:pPr>
                    <w:rPr>
                      <w:vertAlign w:val="superscript"/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Ventil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sa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termičkim</w:t>
                  </w:r>
                  <w:proofErr w:type="spellEnd"/>
                  <w:r>
                    <w:rPr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lang w:eastAsia="it-IT"/>
                    </w:rPr>
                    <w:t>glavama</w:t>
                  </w:r>
                  <w:proofErr w:type="spellEnd"/>
                  <w:r w:rsidRPr="0055545A">
                    <w:rPr>
                      <w:lang w:eastAsia="it-IT"/>
                    </w:rPr>
                    <w:t xml:space="preserve"> (</w:t>
                  </w:r>
                  <w:proofErr w:type="spellStart"/>
                  <w:r>
                    <w:rPr>
                      <w:lang w:eastAsia="it-IT"/>
                    </w:rPr>
                    <w:t>termoregulator</w:t>
                  </w:r>
                  <w:proofErr w:type="spellEnd"/>
                  <w:r w:rsidRPr="0055545A">
                    <w:rPr>
                      <w:lang w:eastAsia="it-IT"/>
                    </w:rPr>
                    <w:t>)</w:t>
                  </w:r>
                  <w:r w:rsidRPr="0055545A"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20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Barometar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r>
                    <w:t>½ 16-20 bar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Pr="009F5D2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šiber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3</w:t>
                  </w:r>
                  <w: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Pr="009F5D25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4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šiber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2</w:t>
                  </w:r>
                  <w: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4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E65FA3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holonderom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5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</w:pPr>
                  <w:r>
                    <w:t>5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sferik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15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sferik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r>
                    <w:t>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15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Ventil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flutur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</w:t>
                  </w:r>
                  <w:r>
                    <w:t>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komad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r w:rsidRPr="00403EDB">
                    <w:rPr>
                      <w:rFonts w:eastAsia="MS Mincho"/>
                      <w:sz w:val="22"/>
                      <w:szCs w:val="22"/>
                    </w:rPr>
                    <w:t>Klinger 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tabla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Pr="00403EDB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Klinger 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tabla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C750FF" w:rsidRPr="006A3DB5" w:rsidTr="00C750FF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C750FF" w:rsidRDefault="00C750FF" w:rsidP="00C750FF">
                  <w:pPr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Shnur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azbest</w:t>
                  </w:r>
                  <w:proofErr w:type="spellEnd"/>
                  <w:r>
                    <w:rPr>
                      <w:rFonts w:eastAsia="MS Mincho"/>
                      <w:sz w:val="22"/>
                      <w:szCs w:val="22"/>
                    </w:rPr>
                    <w:t>) 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MS Mincho"/>
                      <w:sz w:val="22"/>
                      <w:szCs w:val="22"/>
                    </w:rPr>
                    <w:t>metar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C750FF" w:rsidRDefault="00C750FF" w:rsidP="00C750FF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50</w:t>
                  </w:r>
                </w:p>
              </w:tc>
            </w:tr>
          </w:tbl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3C2F28" w:rsidRPr="00757C15">
              <w:rPr>
                <w:b/>
                <w:color w:val="3333FF"/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  <w:p w:rsidR="002003A1" w:rsidRPr="00757C15" w:rsidRDefault="002003A1" w:rsidP="00757C1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lastRenderedPageBreak/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</w:t>
            </w:r>
            <w:r w:rsidR="002742B6">
              <w:rPr>
                <w:bCs/>
                <w:iCs/>
                <w:color w:val="0000FF"/>
                <w:sz w:val="24"/>
                <w:szCs w:val="24"/>
                <w:lang w:val="sr-Latn-CS"/>
              </w:rPr>
              <w:t>sličnog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snabdevanja tokom zadnje tri godine 2014,2015,2016 (najmanje jedan preporuke) koje odražavaju vrednost snabdevanja praćene ugovorom o snabdevanju, i realizirane u oblasti delatnosti istih s preporukom ………… 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(kopiju).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D7791C" w:rsidP="00265FB7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</w:t>
            </w:r>
            <w:r w:rsidR="002742B6">
              <w:rPr>
                <w:bCs/>
                <w:iCs/>
                <w:color w:val="0000FF"/>
                <w:sz w:val="24"/>
                <w:szCs w:val="24"/>
                <w:lang w:val="sr-Latn-CS"/>
              </w:rPr>
              <w:t>sličnog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snabdevanja tokom zadnje tri godine (2014,2015,2016) minimum 1 (jedan) preporuke koje odražavaju vrednost snabdevanja praćene ugovorom o snabdevanju, i realizirane u oblasti delatnosti istih s preporukom 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3C2F28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757C15">
              <w:rPr>
                <w:b/>
                <w:color w:val="3333FF"/>
                <w:sz w:val="22"/>
                <w:szCs w:val="22"/>
              </w:rPr>
              <w:t>11.04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757C15">
              <w:rPr>
                <w:b/>
                <w:color w:val="3333FF"/>
                <w:sz w:val="22"/>
                <w:szCs w:val="22"/>
              </w:rPr>
              <w:t>14.04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3C2F28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757C15">
              <w:rPr>
                <w:b/>
                <w:color w:val="3333FF"/>
                <w:sz w:val="22"/>
                <w:szCs w:val="22"/>
              </w:rPr>
              <w:t>14.04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lastRenderedPageBreak/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32" w:rsidRDefault="00321D32">
      <w:r>
        <w:separator/>
      </w:r>
    </w:p>
  </w:endnote>
  <w:endnote w:type="continuationSeparator" w:id="0">
    <w:p w:rsidR="00321D32" w:rsidRDefault="003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E" w:rsidRPr="008E7756" w:rsidRDefault="001E38C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E38CE" w:rsidRPr="008E7756" w:rsidRDefault="001E38C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E38CE" w:rsidRPr="008E7756" w:rsidRDefault="001E38C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32" w:rsidRDefault="00321D32">
      <w:r>
        <w:separator/>
      </w:r>
    </w:p>
  </w:footnote>
  <w:footnote w:type="continuationSeparator" w:id="0">
    <w:p w:rsidR="00321D32" w:rsidRDefault="0032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E" w:rsidRDefault="001E38CE">
    <w:pPr>
      <w:tabs>
        <w:tab w:val="center" w:pos="4320"/>
        <w:tab w:val="right" w:pos="8640"/>
      </w:tabs>
      <w:rPr>
        <w:kern w:val="0"/>
      </w:rPr>
    </w:pPr>
  </w:p>
  <w:p w:rsidR="001E38CE" w:rsidRDefault="001E38C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E38CE"/>
    <w:rsid w:val="001F0044"/>
    <w:rsid w:val="001F3882"/>
    <w:rsid w:val="001F40C0"/>
    <w:rsid w:val="002003A1"/>
    <w:rsid w:val="002011B0"/>
    <w:rsid w:val="00213C13"/>
    <w:rsid w:val="00214D06"/>
    <w:rsid w:val="0022543D"/>
    <w:rsid w:val="00226C18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65FB7"/>
    <w:rsid w:val="002742B6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4259"/>
    <w:rsid w:val="002E694F"/>
    <w:rsid w:val="00300D05"/>
    <w:rsid w:val="003057F1"/>
    <w:rsid w:val="003063A7"/>
    <w:rsid w:val="00312FDF"/>
    <w:rsid w:val="0031327D"/>
    <w:rsid w:val="00321D32"/>
    <w:rsid w:val="0032489B"/>
    <w:rsid w:val="00325BA6"/>
    <w:rsid w:val="00333998"/>
    <w:rsid w:val="00334F42"/>
    <w:rsid w:val="003558AC"/>
    <w:rsid w:val="00365408"/>
    <w:rsid w:val="003C2F2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57C15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8771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44AC4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1663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2DA5"/>
    <w:rsid w:val="00B934D7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50FF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044D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  <w:style w:type="paragraph" w:styleId="BalloonText">
    <w:name w:val="Balloon Text"/>
    <w:basedOn w:val="Normal"/>
    <w:link w:val="BalloonTextChar"/>
    <w:semiHidden/>
    <w:unhideWhenUsed/>
    <w:rsid w:val="00C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50FF"/>
    <w:rPr>
      <w:rFonts w:ascii="Tahoma" w:hAnsi="Tahoma" w:cs="Tahoma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  <w:style w:type="paragraph" w:styleId="BalloonText">
    <w:name w:val="Balloon Text"/>
    <w:basedOn w:val="Normal"/>
    <w:link w:val="BalloonTextChar"/>
    <w:semiHidden/>
    <w:unhideWhenUsed/>
    <w:rsid w:val="00C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50FF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4B0-BD32-48D8-853B-AE6ECF3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2006-09-15T14:10:00Z</cp:lastPrinted>
  <dcterms:created xsi:type="dcterms:W3CDTF">2017-04-07T06:45:00Z</dcterms:created>
  <dcterms:modified xsi:type="dcterms:W3CDTF">2017-04-07T06:46:00Z</dcterms:modified>
</cp:coreProperties>
</file>