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EC044D" w:rsidRDefault="004031B3" w:rsidP="004031B3">
            <w:pPr>
              <w:rPr>
                <w:rFonts w:ascii="Book Antiqua" w:hAnsi="Book Antiqua"/>
                <w:lang w:val="sr-Latn-RS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bookmarkStart w:id="0" w:name="_GoBack"/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bookmarkEnd w:id="0"/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3C2F28">
        <w:rPr>
          <w:b/>
          <w:bCs/>
          <w:color w:val="3333FF"/>
          <w:sz w:val="24"/>
          <w:szCs w:val="24"/>
          <w:lang w:val="sr-Latn-BA"/>
        </w:rPr>
        <w:t>17.03.2017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3C2F28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4031B3" w:rsidRPr="008A6AF9" w:rsidRDefault="00400D39" w:rsidP="004031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hardverom za IT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400D39" w:rsidP="00D00053">
            <w:pPr>
              <w:rPr>
                <w:sz w:val="24"/>
                <w:szCs w:val="24"/>
                <w:lang w:val="sr-Latn-BA"/>
              </w:rPr>
            </w:pPr>
            <w:r>
              <w:rPr>
                <w:rFonts w:ascii="Book Antiqua" w:hAnsi="Book Antiqua"/>
                <w:color w:val="3333FF"/>
              </w:rPr>
              <w:t xml:space="preserve">Odeljenje Informativne tehnologije u svom razvojnom sistemu za poboljšanje uslova rada I kvaliteta obuke koja se održava u KAJB-u, ima I potrebu za kupovinom hardverske opreme. Upotrebom </w:t>
            </w:r>
            <w:r w:rsidR="00425B82">
              <w:rPr>
                <w:rFonts w:ascii="Book Antiqua" w:hAnsi="Book Antiqua"/>
                <w:color w:val="3333FF"/>
              </w:rPr>
              <w:t>I  instaliranjem  ove opreme razvija se , odražava I povećava kapacitet sistema Informativne Tehnologije</w:t>
            </w:r>
            <w:r w:rsidR="004031B3" w:rsidRPr="003466FE">
              <w:rPr>
                <w:rFonts w:ascii="Book Antiqua" w:hAnsi="Book Antiqua"/>
                <w:color w:val="3333FF"/>
              </w:rPr>
              <w:t>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4031B3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FA7E3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3C2F2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3C2F28">
              <w:rPr>
                <w:b/>
                <w:bCs/>
                <w:color w:val="3333FF"/>
                <w:sz w:val="24"/>
                <w:szCs w:val="24"/>
              </w:rPr>
              <w:t>8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22"/>
        <w:gridCol w:w="3029"/>
        <w:gridCol w:w="1724"/>
      </w:tblGrid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B</w:t>
            </w:r>
            <w:r w:rsidR="00095A28" w:rsidRPr="00FA5EB9">
              <w:rPr>
                <w:rFonts w:ascii="Book Antiqua" w:eastAsia="MS Mincho" w:hAnsi="Book Antiqua"/>
                <w:b/>
                <w:i/>
              </w:rPr>
              <w:t>r.</w:t>
            </w:r>
          </w:p>
        </w:tc>
        <w:tc>
          <w:tcPr>
            <w:tcW w:w="4663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Opis</w:t>
            </w:r>
          </w:p>
        </w:tc>
        <w:tc>
          <w:tcPr>
            <w:tcW w:w="3060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Jedinica</w:t>
            </w:r>
          </w:p>
        </w:tc>
        <w:tc>
          <w:tcPr>
            <w:tcW w:w="1735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Količina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</w:rPr>
            </w:pPr>
            <w:r w:rsidRPr="00FA5EB9"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hAnsi="Book Antiqua"/>
              </w:rPr>
              <w:t>PRINTER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MS Mincho" w:hAnsi="Book Antiqua"/>
                <w:b/>
                <w:i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2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2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PROJEKTOR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3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EC044D">
            <w:pPr>
              <w:pStyle w:val="BodyText2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5EB9">
              <w:rPr>
                <w:rFonts w:ascii="Book Antiqua" w:hAnsi="Book Antiqua"/>
                <w:sz w:val="24"/>
                <w:szCs w:val="24"/>
              </w:rPr>
              <w:t>KAB</w:t>
            </w:r>
            <w:r w:rsidR="00EC044D">
              <w:rPr>
                <w:rFonts w:ascii="Book Antiqua" w:hAnsi="Book Antiqua"/>
                <w:sz w:val="24"/>
                <w:szCs w:val="24"/>
              </w:rPr>
              <w:t xml:space="preserve">AL ZA </w:t>
            </w:r>
            <w:r w:rsidRPr="00FA5EB9">
              <w:rPr>
                <w:rFonts w:ascii="Book Antiqua" w:hAnsi="Book Antiqua"/>
                <w:sz w:val="24"/>
                <w:szCs w:val="24"/>
              </w:rPr>
              <w:t>UTP</w:t>
            </w:r>
            <w:r w:rsidR="00EC044D">
              <w:rPr>
                <w:rFonts w:ascii="Book Antiqua" w:hAnsi="Book Antiqua"/>
                <w:sz w:val="24"/>
                <w:szCs w:val="24"/>
              </w:rPr>
              <w:t xml:space="preserve"> MREŽU</w:t>
            </w:r>
          </w:p>
        </w:tc>
        <w:tc>
          <w:tcPr>
            <w:tcW w:w="3060" w:type="dxa"/>
            <w:vAlign w:val="center"/>
          </w:tcPr>
          <w:p w:rsidR="00095A28" w:rsidRPr="00FA5EB9" w:rsidRDefault="00095A28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Met</w:t>
            </w:r>
            <w:r w:rsidR="00EC044D">
              <w:rPr>
                <w:rFonts w:ascii="Book Antiqua" w:eastAsia="MS Mincho" w:hAnsi="Book Antiqua"/>
                <w:b/>
                <w:i/>
              </w:rPr>
              <w:t>ara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 xml:space="preserve">600 </w:t>
            </w:r>
          </w:p>
        </w:tc>
      </w:tr>
      <w:tr w:rsidR="00325BA6" w:rsidRPr="00C86F7E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133D62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4</w:t>
            </w:r>
          </w:p>
        </w:tc>
        <w:tc>
          <w:tcPr>
            <w:tcW w:w="4663" w:type="dxa"/>
            <w:vAlign w:val="center"/>
          </w:tcPr>
          <w:p w:rsidR="00095A28" w:rsidRPr="00C86F7E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 xml:space="preserve">WIRELESS  ROUTER     </w:t>
            </w:r>
          </w:p>
        </w:tc>
        <w:tc>
          <w:tcPr>
            <w:tcW w:w="3060" w:type="dxa"/>
            <w:vAlign w:val="center"/>
          </w:tcPr>
          <w:p w:rsidR="00095A28" w:rsidRPr="00C86F7E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C86F7E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C86F7E">
              <w:rPr>
                <w:rFonts w:ascii="Book Antiqua" w:eastAsia="MS Mincho" w:hAnsi="Book Antiqua"/>
                <w:b/>
                <w:i/>
              </w:rPr>
              <w:t>2</w:t>
            </w:r>
          </w:p>
        </w:tc>
      </w:tr>
      <w:tr w:rsidR="00325BA6" w:rsidRPr="00133D62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663" w:type="dxa"/>
            <w:vAlign w:val="center"/>
          </w:tcPr>
          <w:p w:rsidR="00095A28" w:rsidRPr="00133D62" w:rsidRDefault="00095A28" w:rsidP="00EC044D">
            <w:pPr>
              <w:spacing w:line="360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BATERI</w:t>
            </w:r>
            <w:r w:rsidR="00EC044D">
              <w:rPr>
                <w:rFonts w:ascii="Book Antiqua" w:hAnsi="Book Antiqua"/>
              </w:rPr>
              <w:t>JA ZA</w:t>
            </w:r>
            <w:r w:rsidRPr="00133D62">
              <w:rPr>
                <w:rFonts w:ascii="Book Antiqua" w:hAnsi="Book Antiqua"/>
              </w:rPr>
              <w:t xml:space="preserve"> UPS</w:t>
            </w:r>
          </w:p>
        </w:tc>
        <w:tc>
          <w:tcPr>
            <w:tcW w:w="3060" w:type="dxa"/>
            <w:vAlign w:val="center"/>
          </w:tcPr>
          <w:p w:rsidR="00095A28" w:rsidRPr="00133D62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133D62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 xml:space="preserve">100 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 xml:space="preserve">MAUS </w:t>
            </w:r>
            <w:r w:rsidR="00EC044D">
              <w:rPr>
                <w:rFonts w:ascii="Book Antiqua" w:hAnsi="Book Antiqua"/>
              </w:rPr>
              <w:t xml:space="preserve">SA </w:t>
            </w:r>
            <w:r w:rsidRPr="00FA5EB9"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>ULAZOM</w:t>
            </w:r>
            <w:r w:rsidRPr="00FA5EB9">
              <w:rPr>
                <w:rFonts w:ascii="Book Antiqua" w:hAnsi="Book Antiqua"/>
              </w:rPr>
              <w:t xml:space="preserve"> USB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40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TASTATUR</w:t>
            </w:r>
            <w:r w:rsidR="00EC044D">
              <w:rPr>
                <w:rFonts w:ascii="Book Antiqua" w:hAnsi="Book Antiqua"/>
              </w:rPr>
              <w:t>A</w:t>
            </w:r>
            <w:r w:rsidRPr="00FA5EB9"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 xml:space="preserve">SA ULAZOM ZA </w:t>
            </w:r>
            <w:r w:rsidRPr="00FA5EB9">
              <w:rPr>
                <w:rFonts w:ascii="Book Antiqua" w:hAnsi="Book Antiqua"/>
              </w:rPr>
              <w:t>USB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</w:t>
            </w:r>
            <w:r w:rsidRPr="00FA5EB9">
              <w:rPr>
                <w:rFonts w:ascii="Book Antiqua" w:eastAsia="MS Mincho" w:hAnsi="Book Antiqua"/>
                <w:b/>
                <w:i/>
              </w:rPr>
              <w:t xml:space="preserve">0 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663" w:type="dxa"/>
            <w:vAlign w:val="center"/>
          </w:tcPr>
          <w:p w:rsidR="00095A28" w:rsidRPr="00B03EA9" w:rsidRDefault="00EC044D" w:rsidP="00EC044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SLUŠALICE</w:t>
            </w:r>
            <w:r w:rsidR="00095A28" w:rsidRPr="00B03EA9">
              <w:rPr>
                <w:rFonts w:ascii="Book Antiqua" w:hAnsi="Book Antiqua"/>
              </w:rPr>
              <w:t xml:space="preserve"> (HeadPhones).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10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663" w:type="dxa"/>
            <w:vAlign w:val="center"/>
          </w:tcPr>
          <w:p w:rsidR="00095A28" w:rsidRPr="002C1985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 w:cs="Arial"/>
                <w:color w:val="000000"/>
                <w:lang w:eastAsia="sq-AL"/>
              </w:rPr>
            </w:pPr>
            <w:r w:rsidRPr="002C1985">
              <w:rPr>
                <w:rFonts w:ascii="Book Antiqua" w:hAnsi="Book Antiqua" w:cs="Arial"/>
                <w:color w:val="000000"/>
                <w:lang w:eastAsia="sq-AL"/>
              </w:rPr>
              <w:t xml:space="preserve">SET TOOLS FOR NETWORK 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MS Mincho" w:hAnsi="Book Antiqua"/>
                <w:b/>
                <w:i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38634C">
              <w:rPr>
                <w:rFonts w:ascii="Book Antiqua" w:eastAsia="MS Mincho" w:hAnsi="Book Antiqua"/>
                <w:b/>
                <w:i/>
              </w:rPr>
              <w:t>1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USB to WIRELESS ADAPTER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6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663" w:type="dxa"/>
            <w:vAlign w:val="center"/>
          </w:tcPr>
          <w:p w:rsidR="00095A28" w:rsidRPr="00FA5EB9" w:rsidRDefault="00EC044D" w:rsidP="00EC044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TAŠNA ZA LAPTOP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EC044D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HARD DISK SATA</w:t>
            </w:r>
            <w:r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 xml:space="preserve">ZA </w:t>
            </w:r>
            <w:r>
              <w:rPr>
                <w:rFonts w:ascii="Book Antiqua" w:hAnsi="Book Antiqua"/>
              </w:rPr>
              <w:t>PC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325BA6" w:rsidRPr="00C86F7E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663" w:type="dxa"/>
            <w:vAlign w:val="center"/>
          </w:tcPr>
          <w:p w:rsidR="00095A28" w:rsidRPr="00493191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493191">
              <w:rPr>
                <w:rFonts w:ascii="Book Antiqua" w:hAnsi="Book Antiqua"/>
              </w:rPr>
              <w:t>POWER SUPPLY STANDARD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C86F7E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>10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663" w:type="dxa"/>
            <w:vAlign w:val="center"/>
          </w:tcPr>
          <w:p w:rsidR="00095A28" w:rsidRPr="00211314" w:rsidRDefault="00095A28" w:rsidP="00B934D7">
            <w:pPr>
              <w:spacing w:after="240" w:line="360" w:lineRule="auto"/>
              <w:rPr>
                <w:rFonts w:ascii="Book Antiqua" w:hAnsi="Book Antiqua"/>
              </w:rPr>
            </w:pPr>
            <w:r w:rsidRPr="00211314">
              <w:rPr>
                <w:rFonts w:ascii="Book Antiqua" w:hAnsi="Book Antiqua"/>
              </w:rPr>
              <w:t>POWER SUPPLY FOR HP PC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15</w:t>
            </w:r>
          </w:p>
        </w:tc>
        <w:tc>
          <w:tcPr>
            <w:tcW w:w="4663" w:type="dxa"/>
            <w:vAlign w:val="center"/>
          </w:tcPr>
          <w:p w:rsidR="00095A28" w:rsidRPr="00801CB3" w:rsidRDefault="00095A28" w:rsidP="00B934D7">
            <w:pPr>
              <w:spacing w:line="360" w:lineRule="auto"/>
            </w:pPr>
            <w:r w:rsidRPr="00B271BE">
              <w:t>USB TO SATA &amp; IDE ADAPTER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663" w:type="dxa"/>
            <w:vAlign w:val="center"/>
          </w:tcPr>
          <w:p w:rsidR="00095A28" w:rsidRPr="005A038E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5A038E">
              <w:rPr>
                <w:rFonts w:ascii="Book Antiqua" w:hAnsi="Book Antiqua"/>
              </w:rPr>
              <w:t xml:space="preserve">UNIVERSAL LAPTOP CHARGER </w:t>
            </w:r>
          </w:p>
        </w:tc>
        <w:tc>
          <w:tcPr>
            <w:tcW w:w="3060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663" w:type="dxa"/>
            <w:vAlign w:val="center"/>
          </w:tcPr>
          <w:p w:rsidR="00095A28" w:rsidRPr="007751B5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7751B5">
              <w:rPr>
                <w:rFonts w:ascii="Book Antiqua" w:hAnsi="Book Antiqua"/>
              </w:rPr>
              <w:t>AUDIO VIDEO CABLE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663" w:type="dxa"/>
            <w:vAlign w:val="center"/>
          </w:tcPr>
          <w:p w:rsidR="00095A28" w:rsidRPr="00C6609F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C6609F">
              <w:rPr>
                <w:rFonts w:ascii="Book Antiqua" w:hAnsi="Book Antiqua"/>
              </w:rPr>
              <w:t>SCART TO AV ADAPTER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4663" w:type="dxa"/>
            <w:vAlign w:val="center"/>
          </w:tcPr>
          <w:p w:rsidR="00095A28" w:rsidRPr="00B35885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B35885">
              <w:rPr>
                <w:rFonts w:ascii="Book Antiqua" w:hAnsi="Book Antiqua"/>
              </w:rPr>
              <w:t xml:space="preserve">HARD DISC </w:t>
            </w:r>
            <w:r w:rsidR="00EC044D">
              <w:rPr>
                <w:rFonts w:ascii="Book Antiqua" w:hAnsi="Book Antiqua"/>
              </w:rPr>
              <w:t>ZA</w:t>
            </w:r>
            <w:r w:rsidRPr="00B35885">
              <w:rPr>
                <w:rFonts w:ascii="Book Antiqua" w:hAnsi="Book Antiqua"/>
              </w:rPr>
              <w:t xml:space="preserve"> SERVER DELL POWEREDGE R720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4663" w:type="dxa"/>
            <w:vAlign w:val="center"/>
          </w:tcPr>
          <w:p w:rsidR="00095A28" w:rsidRPr="00B35885" w:rsidRDefault="00095A28" w:rsidP="00EC044D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B35885">
              <w:rPr>
                <w:rFonts w:ascii="Book Antiqua" w:hAnsi="Book Antiqua" w:cs="Book Antiqua"/>
                <w:sz w:val="24"/>
                <w:szCs w:val="24"/>
              </w:rPr>
              <w:t xml:space="preserve">HARD DISK SAS </w:t>
            </w:r>
            <w:r w:rsidR="00EC044D">
              <w:rPr>
                <w:rFonts w:ascii="Book Antiqua" w:hAnsi="Book Antiqua" w:cs="Book Antiqua"/>
                <w:sz w:val="24"/>
                <w:szCs w:val="24"/>
              </w:rPr>
              <w:t>ZA</w:t>
            </w:r>
            <w:r w:rsidRPr="00B35885">
              <w:rPr>
                <w:rFonts w:ascii="Book Antiqua" w:hAnsi="Book Antiqua" w:cs="Book Antiqua"/>
                <w:sz w:val="24"/>
                <w:szCs w:val="24"/>
              </w:rPr>
              <w:t xml:space="preserve"> SERVER POWEREDGE 2900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4663" w:type="dxa"/>
            <w:vAlign w:val="center"/>
          </w:tcPr>
          <w:p w:rsidR="00095A28" w:rsidRPr="00433AE1" w:rsidRDefault="00095A28" w:rsidP="00B934D7">
            <w:pPr>
              <w:pStyle w:val="BodyText2"/>
              <w:spacing w:line="360" w:lineRule="auto"/>
              <w:rPr>
                <w:rFonts w:ascii="Book Antiqua" w:hAnsi="Book Antiqua"/>
                <w:sz w:val="24"/>
                <w:szCs w:val="24"/>
                <w:lang w:eastAsia="sr-Latn-CS"/>
              </w:rPr>
            </w:pPr>
            <w:r w:rsidRPr="00433AE1">
              <w:rPr>
                <w:rFonts w:ascii="Book Antiqua" w:hAnsi="Book Antiqua"/>
                <w:sz w:val="24"/>
                <w:szCs w:val="24"/>
                <w:lang w:eastAsia="sr-Latn-CS"/>
              </w:rPr>
              <w:t>HARD DISK  4TB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4663" w:type="dxa"/>
            <w:vAlign w:val="center"/>
          </w:tcPr>
          <w:p w:rsidR="00095A28" w:rsidRPr="00A4666B" w:rsidRDefault="00095A28" w:rsidP="00B934D7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A4666B">
              <w:rPr>
                <w:rFonts w:ascii="Book Antiqua" w:hAnsi="Book Antiqua" w:cs="Book Antiqua"/>
                <w:sz w:val="24"/>
                <w:szCs w:val="24"/>
              </w:rPr>
              <w:t>HDMI TO VGA ADAPTER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4663" w:type="dxa"/>
            <w:vAlign w:val="center"/>
          </w:tcPr>
          <w:p w:rsidR="00095A28" w:rsidRPr="00433AE1" w:rsidRDefault="00095A28" w:rsidP="00B934D7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433AE1">
              <w:rPr>
                <w:rFonts w:ascii="Book Antiqua" w:hAnsi="Book Antiqua" w:cs="Book Antiqua"/>
                <w:sz w:val="24"/>
                <w:szCs w:val="24"/>
              </w:rPr>
              <w:t>FLASH CARD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4663" w:type="dxa"/>
            <w:vAlign w:val="center"/>
          </w:tcPr>
          <w:p w:rsidR="00095A28" w:rsidRPr="000B7FC4" w:rsidRDefault="00095A28" w:rsidP="00B934D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(LC-LC-DUPLEX)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4663" w:type="dxa"/>
            <w:vAlign w:val="center"/>
          </w:tcPr>
          <w:p w:rsidR="00095A28" w:rsidRPr="000B7FC4" w:rsidRDefault="00095A28" w:rsidP="00B934D7">
            <w:pPr>
              <w:spacing w:before="100" w:beforeAutospacing="1" w:after="100" w:afterAutospacing="1" w:line="360" w:lineRule="auto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(LC-SC-DUPLEX)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4663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Style w:val="ircsu"/>
                <w:rFonts w:ascii="Book Antiqua" w:hAnsi="Book Antiqua" w:cs="Arial"/>
                <w:color w:val="222222"/>
                <w:lang w:val="en"/>
              </w:rPr>
              <w:t>WIRING DIAGRAM  WALL JACK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325BA6" w:rsidRPr="00FA5EB9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4663" w:type="dxa"/>
            <w:vAlign w:val="center"/>
          </w:tcPr>
          <w:p w:rsidR="00095A28" w:rsidRPr="004D24CB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4D24CB">
              <w:rPr>
                <w:rFonts w:ascii="Book Antiqua" w:hAnsi="Book Antiqua"/>
              </w:rPr>
              <w:t>MOTHERBOARD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4663" w:type="dxa"/>
            <w:vAlign w:val="center"/>
          </w:tcPr>
          <w:p w:rsidR="00095A28" w:rsidRPr="004D24CB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DDR 3 MEMORY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4663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SS HARD DISK 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4663" w:type="dxa"/>
            <w:vAlign w:val="center"/>
          </w:tcPr>
          <w:p w:rsidR="00095A28" w:rsidRPr="00CB23D0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CB23D0">
              <w:rPr>
                <w:rFonts w:ascii="Book Antiqua" w:hAnsi="Book Antiqua"/>
              </w:rPr>
              <w:t xml:space="preserve">SSD/HDD BAY CONVERTER 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</w:p>
        </w:tc>
        <w:tc>
          <w:tcPr>
            <w:tcW w:w="4663" w:type="dxa"/>
            <w:vAlign w:val="center"/>
          </w:tcPr>
          <w:p w:rsidR="00095A28" w:rsidRPr="00F77E94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1TB (Solid State Hybrid Drive)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  <w:tc>
          <w:tcPr>
            <w:tcW w:w="4663" w:type="dxa"/>
            <w:vAlign w:val="center"/>
          </w:tcPr>
          <w:p w:rsidR="00095A28" w:rsidRPr="00CB23D0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2TB (Solid State Hybrid Drive)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4663" w:type="dxa"/>
            <w:vAlign w:val="center"/>
          </w:tcPr>
          <w:p w:rsidR="00095A28" w:rsidRPr="009B40AF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9B40AF">
              <w:rPr>
                <w:rFonts w:ascii="Book Antiqua" w:hAnsi="Book Antiqua"/>
              </w:rPr>
              <w:t xml:space="preserve">CPU COOLER 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</w:t>
            </w:r>
          </w:p>
        </w:tc>
        <w:tc>
          <w:tcPr>
            <w:tcW w:w="4663" w:type="dxa"/>
            <w:vAlign w:val="center"/>
          </w:tcPr>
          <w:p w:rsidR="00095A28" w:rsidRPr="009B40AF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91FB8">
              <w:rPr>
                <w:rFonts w:ascii="Book Antiqua" w:hAnsi="Book Antiqua"/>
              </w:rPr>
              <w:t>WIRELESS MICROPHONE SYSTEM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4663" w:type="dxa"/>
            <w:vAlign w:val="center"/>
          </w:tcPr>
          <w:p w:rsidR="00095A28" w:rsidRPr="00F91FB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CHROMA KEY</w:t>
            </w:r>
          </w:p>
        </w:tc>
        <w:tc>
          <w:tcPr>
            <w:tcW w:w="3060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DC58F9">
        <w:tblPrEx>
          <w:tblLook w:val="04A0" w:firstRow="1" w:lastRow="0" w:firstColumn="1" w:lastColumn="0" w:noHBand="0" w:noVBand="1"/>
        </w:tblPrEx>
        <w:tc>
          <w:tcPr>
            <w:tcW w:w="39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4663" w:type="dxa"/>
            <w:vAlign w:val="center"/>
          </w:tcPr>
          <w:p w:rsidR="00095A28" w:rsidRPr="008E748E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/>
                <w:b/>
                <w:i/>
              </w:rPr>
            </w:pPr>
            <w:r w:rsidRPr="008E748E">
              <w:rPr>
                <w:rFonts w:ascii="Book Antiqua" w:hAnsi="Book Antiqua" w:cs="Calibri"/>
                <w:color w:val="000000"/>
                <w:shd w:val="clear" w:color="auto" w:fill="FFFFFF"/>
              </w:rPr>
              <w:t>DISPLAY PORT 1.2 TO HDMI 2.0 CONVERTER</w:t>
            </w:r>
          </w:p>
        </w:tc>
        <w:tc>
          <w:tcPr>
            <w:tcW w:w="3060" w:type="dxa"/>
            <w:vAlign w:val="center"/>
          </w:tcPr>
          <w:p w:rsidR="00095A28" w:rsidRPr="00325BA6" w:rsidRDefault="00325BA6" w:rsidP="00325BA6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>Komada</w:t>
            </w:r>
          </w:p>
        </w:tc>
        <w:tc>
          <w:tcPr>
            <w:tcW w:w="1735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3C2F28">
              <w:rPr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D00053">
              <w:rPr>
                <w:color w:val="3333FF"/>
                <w:sz w:val="22"/>
                <w:szCs w:val="22"/>
              </w:rPr>
              <w:t xml:space="preserve"> (od potpisivanja ugovora</w:t>
            </w:r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r w:rsidR="00D00053">
              <w:rPr>
                <w:color w:val="0000FF"/>
                <w:sz w:val="22"/>
                <w:szCs w:val="22"/>
              </w:rPr>
              <w:t>jedan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) d</w:t>
            </w:r>
            <w:r w:rsidR="00D00053">
              <w:rPr>
                <w:color w:val="0000FF"/>
                <w:sz w:val="22"/>
                <w:szCs w:val="22"/>
              </w:rPr>
              <w:t>an nakon potpisivanja ugovora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r w:rsidR="00D00053">
              <w:rPr>
                <w:color w:val="0000FF"/>
                <w:sz w:val="22"/>
                <w:szCs w:val="22"/>
              </w:rPr>
              <w:t>Ugovor stupa na snagu I počinje da se sprovodi nakon potpisivanja istog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>( tačka</w:t>
            </w:r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Jednu potvrdu potpisanu od strane poreske </w:t>
            </w:r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 mesta ekonomskog operatera , u vezi toga da dotični operater ne kasni u podmi</w:t>
            </w:r>
            <w:r w:rsidR="00BF5AA9">
              <w:rPr>
                <w:bCs/>
                <w:color w:val="3333FF"/>
                <w:sz w:val="22"/>
                <w:szCs w:val="22"/>
              </w:rPr>
              <w:t>rivanju  poreskih obaveza  najma</w:t>
            </w:r>
            <w:r w:rsidRPr="00B64630">
              <w:rPr>
                <w:bCs/>
                <w:color w:val="3333FF"/>
                <w:sz w:val="22"/>
                <w:szCs w:val="22"/>
              </w:rPr>
              <w:t>nje  u poslednjem tromesečju  pre predaje  tendera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Izjava pod zakletvom u vezi toga da podnosioc tendera ispunjava  sve zahteve za konkurisanje prema Zakonu za Snabdevanje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član 65, uz korišćenje obrasca iz Aneksa 2 Dosijea za Tender treba da se predaju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 xml:space="preserve">Jedna potvrda potpisana od strane Poreske </w:t>
            </w:r>
            <w:r w:rsidR="00BF5AA9">
              <w:rPr>
                <w:color w:val="3333FF"/>
                <w:sz w:val="22"/>
                <w:szCs w:val="22"/>
              </w:rPr>
              <w:t>Uprave</w:t>
            </w:r>
            <w:r w:rsidRPr="00B64630">
              <w:rPr>
                <w:color w:val="3333FF"/>
                <w:sz w:val="22"/>
                <w:szCs w:val="22"/>
              </w:rPr>
              <w:t xml:space="preserve"> vašeg mesta utemeljivanja u vezi toga da ne kasnite sa podmirivanjem poreza, ova potvrda ne sme da bude starija od  90 kalendarskih dana od dana otvaranja ove aktivnosti, ) ( Treba da preda Ek. Op. koji konkuriše za dobijanje ugovora  </w:t>
            </w:r>
            <w:r w:rsidRPr="00B64630">
              <w:rPr>
                <w:color w:val="FF0000"/>
                <w:sz w:val="22"/>
                <w:szCs w:val="22"/>
              </w:rPr>
              <w:t>..................................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2003A1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7791C" w:rsidRPr="007B0EB3" w:rsidRDefault="00D7791C" w:rsidP="00D7791C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istog snabdevanja kao u nazivu ovog Obaveštenja tokom zadnje tri godine 2014,2015,2016 (najmanje jedan preporuke) koje odražavaju vrednost snabdevanja praćene ugovorom o snabdevanju, i realizirane u oblasti delatnosti istih s preporukom ………… </w:t>
            </w:r>
            <w:r w:rsidRPr="007B0EB3">
              <w:rPr>
                <w:bCs/>
                <w:iCs/>
                <w:color w:val="FF0000"/>
                <w:sz w:val="24"/>
                <w:szCs w:val="24"/>
                <w:lang w:val="sr-Latn-CS"/>
              </w:rPr>
              <w:t>(kopiju).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</w:t>
            </w:r>
          </w:p>
          <w:p w:rsidR="00D7791C" w:rsidRPr="007B0EB3" w:rsidRDefault="00D7791C" w:rsidP="00D7791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B64630" w:rsidRPr="00B64630" w:rsidRDefault="00D7791C" w:rsidP="00D7791C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istog snabdevanja kao u nazivu ovog Obaveštenja tokom zadnje tri godine (2014,2015,2016) minimum 1 (jedan) preporuke koje odražavaju vrednost snabdevanja praćene ugovorom o snabdevanju, i realizirane u oblasti delatnosti istih s preporukom </w:t>
            </w:r>
            <w:r w:rsidRPr="007B0EB3">
              <w:rPr>
                <w:bCs/>
                <w:iCs/>
                <w:color w:val="FF0000"/>
                <w:sz w:val="24"/>
                <w:szCs w:val="24"/>
                <w:lang w:val="sr-Latn-CS"/>
              </w:rPr>
              <w:t>………… (kopiju)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3C2F28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3C2F28">
              <w:rPr>
                <w:b/>
                <w:color w:val="3333FF"/>
                <w:sz w:val="22"/>
                <w:szCs w:val="22"/>
              </w:rPr>
              <w:t>28.03.2017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3C2F2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3C2F28">
              <w:rPr>
                <w:b/>
                <w:color w:val="3333FF"/>
                <w:sz w:val="22"/>
                <w:szCs w:val="22"/>
              </w:rPr>
              <w:t>24.03.2017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3C2F28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3C2F28">
              <w:rPr>
                <w:b/>
                <w:color w:val="3333FF"/>
                <w:sz w:val="22"/>
                <w:szCs w:val="22"/>
              </w:rPr>
              <w:t>28.03.2017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lastRenderedPageBreak/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ED" w:rsidRDefault="00C907ED">
      <w:r>
        <w:separator/>
      </w:r>
    </w:p>
  </w:endnote>
  <w:endnote w:type="continuationSeparator" w:id="0">
    <w:p w:rsidR="00C907ED" w:rsidRDefault="00C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4D" w:rsidRPr="008E7756" w:rsidRDefault="00EC044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EC044D" w:rsidRPr="008E7756" w:rsidRDefault="00EC044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EC044D" w:rsidRPr="008E7756" w:rsidRDefault="00EC044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ED" w:rsidRDefault="00C907ED">
      <w:r>
        <w:separator/>
      </w:r>
    </w:p>
  </w:footnote>
  <w:footnote w:type="continuationSeparator" w:id="0">
    <w:p w:rsidR="00C907ED" w:rsidRDefault="00C9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4D" w:rsidRDefault="00EC044D">
    <w:pPr>
      <w:tabs>
        <w:tab w:val="center" w:pos="4320"/>
        <w:tab w:val="right" w:pos="8640"/>
      </w:tabs>
      <w:rPr>
        <w:kern w:val="0"/>
      </w:rPr>
    </w:pPr>
  </w:p>
  <w:p w:rsidR="00EC044D" w:rsidRDefault="00EC044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8A00B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95A28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B53A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25BA6"/>
    <w:rsid w:val="00333998"/>
    <w:rsid w:val="00334F42"/>
    <w:rsid w:val="003558AC"/>
    <w:rsid w:val="00365408"/>
    <w:rsid w:val="003C2F2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34D7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07ED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176E3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791C"/>
    <w:rsid w:val="00D83E01"/>
    <w:rsid w:val="00D87AEF"/>
    <w:rsid w:val="00D97400"/>
    <w:rsid w:val="00DA0F7D"/>
    <w:rsid w:val="00DC34B6"/>
    <w:rsid w:val="00DC58F9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044D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1D33-B6D1-406E-8C73-A22573FA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2017-03-20T08:51:00Z</dcterms:created>
  <dcterms:modified xsi:type="dcterms:W3CDTF">2017-03-20T08:51:00Z</dcterms:modified>
</cp:coreProperties>
</file>