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</w:t>
            </w:r>
            <w:proofErr w:type="spellStart"/>
            <w:r>
              <w:rPr>
                <w:rFonts w:eastAsia="MS Mincho"/>
              </w:rPr>
              <w:t>KosovskaAcademiazaJavnu</w:t>
            </w:r>
            <w:proofErr w:type="spellEnd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eastAsia="MS Mincho"/>
              </w:rPr>
              <w:t>Bezbednost</w:t>
            </w:r>
            <w:proofErr w:type="spellEnd"/>
            <w:r>
              <w:rPr>
                <w:rFonts w:eastAsia="MS Mincho"/>
              </w:rPr>
              <w:t>/</w:t>
            </w:r>
            <w:proofErr w:type="spellStart"/>
            <w:r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01033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  <w:r w:rsidR="00C33B8A" w:rsidRPr="00187D70">
        <w:rPr>
          <w:rFonts w:ascii="Arial" w:hAnsi="Arial" w:cs="Arial"/>
          <w:b/>
          <w:color w:val="3333FF"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42805">
        <w:rPr>
          <w:b/>
          <w:bCs/>
          <w:color w:val="3333FF"/>
          <w:sz w:val="24"/>
          <w:szCs w:val="24"/>
        </w:rPr>
        <w:t>06</w:t>
      </w:r>
      <w:r w:rsidRPr="00187D70">
        <w:rPr>
          <w:b/>
          <w:bCs/>
          <w:color w:val="3333FF"/>
          <w:sz w:val="24"/>
          <w:szCs w:val="24"/>
        </w:rPr>
        <w:t>/</w:t>
      </w:r>
      <w:r w:rsidR="00C42805">
        <w:rPr>
          <w:b/>
          <w:bCs/>
          <w:color w:val="3333FF"/>
          <w:sz w:val="24"/>
          <w:szCs w:val="24"/>
        </w:rPr>
        <w:t>04</w:t>
      </w:r>
      <w:r w:rsidR="00187D70" w:rsidRPr="00187D70">
        <w:rPr>
          <w:b/>
          <w:bCs/>
          <w:color w:val="3333FF"/>
          <w:sz w:val="24"/>
          <w:szCs w:val="24"/>
        </w:rPr>
        <w:t>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273C5A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E6481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p.n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Pr="00FA0EC5" w:rsidRDefault="00C42805" w:rsidP="003A713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Mirembajtja</w:t>
            </w:r>
            <w:proofErr w:type="spellEnd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trafostacionit</w:t>
            </w:r>
            <w:proofErr w:type="spellEnd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dhe gjeneratorëve - </w:t>
            </w:r>
            <w:proofErr w:type="spellStart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Ritender</w:t>
            </w:r>
            <w:proofErr w:type="spellEnd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4280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4280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4280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42805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C42805" w:rsidRPr="00C42805">
              <w:rPr>
                <w:bCs/>
                <w:sz w:val="24"/>
                <w:szCs w:val="24"/>
              </w:rPr>
              <w:t xml:space="preserve"> </w:t>
            </w:r>
            <w:r w:rsidR="003466FE" w:rsidRPr="00C42805">
              <w:rPr>
                <w:b/>
                <w:bCs/>
                <w:color w:val="3333FF"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42805" w:rsidRDefault="00C42805" w:rsidP="00C42805">
            <w:pPr>
              <w:jc w:val="both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673A52">
              <w:rPr>
                <w:rFonts w:ascii="Arial" w:hAnsi="Arial" w:cs="Arial"/>
                <w:b/>
                <w:color w:val="0000CC"/>
                <w:sz w:val="22"/>
                <w:szCs w:val="22"/>
                <w:lang w:val="it-IT"/>
              </w:rPr>
              <w:t>Mirëmbajtja dhe Servisimi e gjeneratorëve</w:t>
            </w:r>
            <w:r w:rsidRPr="00673A52">
              <w:rPr>
                <w:rFonts w:ascii="Arial" w:hAnsi="Arial" w:cs="Arial"/>
                <w:b/>
                <w:color w:val="0000CC"/>
                <w:sz w:val="22"/>
                <w:szCs w:val="22"/>
              </w:rPr>
              <w:t xml:space="preserve">. </w:t>
            </w:r>
            <w:r w:rsidRPr="00673A52">
              <w:rPr>
                <w:rFonts w:ascii="Arial" w:hAnsi="Arial" w:cs="Arial"/>
                <w:color w:val="0000CC"/>
                <w:sz w:val="22"/>
                <w:szCs w:val="22"/>
              </w:rPr>
              <w:t xml:space="preserve">Ndërrimi i pjesëve te tyre dhe </w:t>
            </w:r>
            <w:proofErr w:type="spellStart"/>
            <w:r w:rsidRPr="00673A52">
              <w:rPr>
                <w:rFonts w:ascii="Arial" w:hAnsi="Arial" w:cs="Arial"/>
                <w:color w:val="0000CC"/>
                <w:sz w:val="22"/>
                <w:szCs w:val="22"/>
              </w:rPr>
              <w:t>servisimi</w:t>
            </w:r>
            <w:proofErr w:type="spellEnd"/>
            <w:r w:rsidRPr="00673A52">
              <w:rPr>
                <w:rFonts w:ascii="Arial" w:hAnsi="Arial" w:cs="Arial"/>
                <w:color w:val="0000CC"/>
                <w:sz w:val="22"/>
                <w:szCs w:val="22"/>
              </w:rPr>
              <w:t xml:space="preserve"> i rregullt i gjeneratorëve të 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AKSP-së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 xml:space="preserve">93 </w:t>
            </w:r>
            <w:r w:rsidR="00C42805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 xml:space="preserve"> 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</w:t>
            </w:r>
            <w:r w:rsidR="003466FE" w:rsidRPr="00C42805">
              <w:rPr>
                <w:b/>
                <w:bCs/>
                <w:color w:val="3333FF"/>
                <w:sz w:val="24"/>
                <w:szCs w:val="24"/>
              </w:rPr>
              <w:t>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>[9,9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586"/>
              <w:tblOverlap w:val="never"/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"/>
              <w:gridCol w:w="5301"/>
              <w:gridCol w:w="1417"/>
              <w:gridCol w:w="851"/>
            </w:tblGrid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b/>
                      <w:i/>
                    </w:rPr>
                  </w:pPr>
                  <w:proofErr w:type="spellStart"/>
                  <w:r w:rsidRPr="006A4D12">
                    <w:rPr>
                      <w:b/>
                      <w:i/>
                    </w:rPr>
                    <w:t>Nr</w:t>
                  </w:r>
                  <w:proofErr w:type="spellEnd"/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Përshkrimi i materialit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Nj. matëse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b/>
                      <w:i/>
                    </w:rPr>
                  </w:pPr>
                  <w:r w:rsidRPr="006A4D12">
                    <w:rPr>
                      <w:b/>
                      <w:i/>
                    </w:rPr>
                    <w:t>Sasia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vajit(vaji sintetik 10W-40)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proofErr w:type="spellStart"/>
                  <w:r w:rsidRPr="006A4D12">
                    <w:rPr>
                      <w:i/>
                    </w:rPr>
                    <w:t>lit</w:t>
                  </w:r>
                  <w:proofErr w:type="spellEnd"/>
                  <w:r w:rsidRPr="006A4D12">
                    <w:rPr>
                      <w:i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65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filterit</w:t>
                  </w:r>
                  <w:proofErr w:type="spellEnd"/>
                  <w:r w:rsidRPr="006A4D12">
                    <w:rPr>
                      <w:i/>
                    </w:rPr>
                    <w:t xml:space="preserve"> të vajit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filterit</w:t>
                  </w:r>
                  <w:proofErr w:type="spellEnd"/>
                  <w:r w:rsidRPr="006A4D12">
                    <w:rPr>
                      <w:i/>
                    </w:rPr>
                    <w:t xml:space="preserve">  të derivateve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filterit</w:t>
                  </w:r>
                  <w:proofErr w:type="spellEnd"/>
                  <w:r w:rsidRPr="006A4D12">
                    <w:rPr>
                      <w:i/>
                    </w:rPr>
                    <w:t xml:space="preserve"> të ajrit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antifrizit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proofErr w:type="spellStart"/>
                  <w:r w:rsidRPr="006A4D12">
                    <w:rPr>
                      <w:i/>
                    </w:rPr>
                    <w:t>lit</w:t>
                  </w:r>
                  <w:proofErr w:type="spellEnd"/>
                  <w:r w:rsidRPr="006A4D12">
                    <w:rPr>
                      <w:i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45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Kaish  </w:t>
                  </w:r>
                  <w:proofErr w:type="spellStart"/>
                  <w:r w:rsidRPr="006A4D12">
                    <w:rPr>
                      <w:i/>
                    </w:rPr>
                    <w:t>ftofësit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Gyp i </w:t>
                  </w:r>
                  <w:proofErr w:type="spellStart"/>
                  <w:r w:rsidRPr="006A4D12">
                    <w:rPr>
                      <w:i/>
                    </w:rPr>
                    <w:t>derivative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Gyp i kthimit të derivateve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proofErr w:type="spellStart"/>
                  <w:r w:rsidRPr="006A4D12">
                    <w:rPr>
                      <w:i/>
                    </w:rPr>
                    <w:t>Relej</w:t>
                  </w:r>
                  <w:proofErr w:type="spellEnd"/>
                  <w:r w:rsidRPr="006A4D12">
                    <w:rPr>
                      <w:i/>
                    </w:rPr>
                    <w:t xml:space="preserve"> –NT-08.H 1.Ui 1000v.Ump-12 kv.IEC-60947-2. 50/60 HZ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Pastrim i </w:t>
                  </w:r>
                  <w:proofErr w:type="spellStart"/>
                  <w:r w:rsidRPr="006A4D12">
                    <w:rPr>
                      <w:i/>
                    </w:rPr>
                    <w:t>ftofësit</w:t>
                  </w:r>
                  <w:proofErr w:type="spellEnd"/>
                  <w:r w:rsidRPr="006A4D12">
                    <w:rPr>
                      <w:i/>
                    </w:rPr>
                    <w:t xml:space="preserve"> (ftohësit)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proofErr w:type="spellStart"/>
                  <w:r w:rsidRPr="006A4D12">
                    <w:rPr>
                      <w:i/>
                    </w:rPr>
                    <w:t>Gypë</w:t>
                  </w:r>
                  <w:proofErr w:type="spellEnd"/>
                  <w:r w:rsidRPr="006A4D12">
                    <w:rPr>
                      <w:i/>
                    </w:rPr>
                    <w:t xml:space="preserve"> e ujit prej </w:t>
                  </w:r>
                  <w:proofErr w:type="spellStart"/>
                  <w:r w:rsidRPr="006A4D12">
                    <w:rPr>
                      <w:i/>
                    </w:rPr>
                    <w:t>ftofësit</w:t>
                  </w:r>
                  <w:proofErr w:type="spellEnd"/>
                  <w:r w:rsidRPr="006A4D12">
                    <w:rPr>
                      <w:i/>
                    </w:rPr>
                    <w:t xml:space="preserve"> në </w:t>
                  </w:r>
                  <w:proofErr w:type="spellStart"/>
                  <w:r w:rsidRPr="006A4D12">
                    <w:rPr>
                      <w:i/>
                    </w:rPr>
                    <w:t>motorr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 në hyrje-dalje (I/O) të tensionit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Riparimi në MICS </w:t>
                  </w:r>
                  <w:proofErr w:type="spellStart"/>
                  <w:r w:rsidRPr="006A4D12">
                    <w:rPr>
                      <w:i/>
                    </w:rPr>
                    <w:t>progress</w:t>
                  </w:r>
                  <w:proofErr w:type="spellEnd"/>
                  <w:r w:rsidRPr="006A4D12">
                    <w:rPr>
                      <w:i/>
                    </w:rPr>
                    <w:t xml:space="preserve"> në nivelin 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Riparimi në MICS </w:t>
                  </w:r>
                  <w:proofErr w:type="spellStart"/>
                  <w:r w:rsidRPr="006A4D12">
                    <w:rPr>
                      <w:i/>
                    </w:rPr>
                    <w:t>progress</w:t>
                  </w:r>
                  <w:proofErr w:type="spellEnd"/>
                  <w:r w:rsidRPr="006A4D12">
                    <w:rPr>
                      <w:i/>
                    </w:rPr>
                    <w:t xml:space="preserve"> në nivelin II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Riparimi në MICS </w:t>
                  </w:r>
                  <w:proofErr w:type="spellStart"/>
                  <w:r w:rsidRPr="006A4D12">
                    <w:rPr>
                      <w:i/>
                    </w:rPr>
                    <w:t>progress</w:t>
                  </w:r>
                  <w:proofErr w:type="spellEnd"/>
                  <w:r w:rsidRPr="006A4D12">
                    <w:rPr>
                      <w:i/>
                    </w:rPr>
                    <w:t xml:space="preserve"> në nivelin III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modulitAVR</w:t>
                  </w:r>
                  <w:proofErr w:type="spellEnd"/>
                  <w:r w:rsidRPr="006A4D12">
                    <w:rPr>
                      <w:i/>
                    </w:rPr>
                    <w:t xml:space="preserve"> X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Ndërrimi i modulit AVR X 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reles</w:t>
                  </w:r>
                  <w:proofErr w:type="spellEnd"/>
                  <w:r w:rsidRPr="006A4D12">
                    <w:rPr>
                      <w:i/>
                    </w:rPr>
                    <w:t xml:space="preserve"> 12 VDC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reles</w:t>
                  </w:r>
                  <w:proofErr w:type="spellEnd"/>
                  <w:r w:rsidRPr="006A4D12">
                    <w:rPr>
                      <w:i/>
                    </w:rPr>
                    <w:t xml:space="preserve"> 24 VDC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</w:t>
                  </w:r>
                  <w:proofErr w:type="spellStart"/>
                  <w:r w:rsidRPr="006A4D12">
                    <w:rPr>
                      <w:i/>
                    </w:rPr>
                    <w:t>komutues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 i </w:t>
                  </w:r>
                  <w:proofErr w:type="spellStart"/>
                  <w:r w:rsidRPr="006A4D12">
                    <w:rPr>
                      <w:i/>
                    </w:rPr>
                    <w:t>senzori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releve</w:t>
                  </w:r>
                  <w:proofErr w:type="spellEnd"/>
                  <w:r w:rsidRPr="006A4D12">
                    <w:rPr>
                      <w:i/>
                    </w:rPr>
                    <w:t xml:space="preserve"> energjetik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lastRenderedPageBreak/>
                    <w:t>28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29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30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6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31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32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kontaktorit</w:t>
                  </w:r>
                  <w:proofErr w:type="spellEnd"/>
                  <w:r w:rsidRPr="006A4D12">
                    <w:rPr>
                      <w:i/>
                    </w:rPr>
                    <w:t xml:space="preserve"> K 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33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(</w:t>
                  </w:r>
                  <w:proofErr w:type="spellStart"/>
                  <w:r w:rsidRPr="006A4D12">
                    <w:rPr>
                      <w:i/>
                    </w:rPr>
                    <w:t>balansimi</w:t>
                  </w:r>
                  <w:proofErr w:type="spellEnd"/>
                  <w:r w:rsidRPr="006A4D12">
                    <w:rPr>
                      <w:i/>
                    </w:rPr>
                    <w:t xml:space="preserve">)I </w:t>
                  </w:r>
                  <w:proofErr w:type="spellStart"/>
                  <w:r w:rsidRPr="006A4D12">
                    <w:rPr>
                      <w:i/>
                    </w:rPr>
                    <w:t>ventilave</w:t>
                  </w:r>
                  <w:proofErr w:type="spellEnd"/>
                  <w:r w:rsidRPr="006A4D12">
                    <w:rPr>
                      <w:i/>
                    </w:rPr>
                    <w:t xml:space="preserve"> të </w:t>
                  </w:r>
                  <w:proofErr w:type="spellStart"/>
                  <w:r w:rsidRPr="006A4D12">
                    <w:rPr>
                      <w:i/>
                    </w:rPr>
                    <w:t>motorrit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>
                    <w:rPr>
                      <w:i/>
                    </w:rPr>
                    <w:t>24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34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(</w:t>
                  </w:r>
                  <w:proofErr w:type="spellStart"/>
                  <w:r w:rsidRPr="006A4D12">
                    <w:rPr>
                      <w:i/>
                    </w:rPr>
                    <w:t>balansimi</w:t>
                  </w:r>
                  <w:proofErr w:type="spellEnd"/>
                  <w:r w:rsidRPr="006A4D12">
                    <w:rPr>
                      <w:i/>
                    </w:rPr>
                    <w:t xml:space="preserve">)I pompës së </w:t>
                  </w:r>
                  <w:proofErr w:type="spellStart"/>
                  <w:r w:rsidRPr="006A4D12">
                    <w:rPr>
                      <w:i/>
                    </w:rPr>
                    <w:t>derivative</w:t>
                  </w:r>
                  <w:proofErr w:type="spellEnd"/>
                  <w:r w:rsidRPr="006A4D12">
                    <w:rPr>
                      <w:i/>
                    </w:rPr>
                    <w:t xml:space="preserve"> me presion të lartë(</w:t>
                  </w:r>
                  <w:proofErr w:type="spellStart"/>
                  <w:r w:rsidRPr="006A4D12">
                    <w:rPr>
                      <w:i/>
                    </w:rPr>
                    <w:t>boshpompës</w:t>
                  </w:r>
                  <w:proofErr w:type="spellEnd"/>
                  <w:r w:rsidRPr="006A4D12">
                    <w:rPr>
                      <w:i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35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Riparimi I pompës së vajit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36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</w:t>
                  </w:r>
                  <w:proofErr w:type="spellStart"/>
                  <w:r w:rsidRPr="006A4D12">
                    <w:rPr>
                      <w:i/>
                    </w:rPr>
                    <w:t>karrikave</w:t>
                  </w:r>
                  <w:proofErr w:type="spellEnd"/>
                  <w:r w:rsidRPr="006A4D12">
                    <w:rPr>
                      <w:i/>
                    </w:rPr>
                    <w:t xml:space="preserve"> të </w:t>
                  </w:r>
                  <w:proofErr w:type="spellStart"/>
                  <w:r w:rsidRPr="006A4D12">
                    <w:rPr>
                      <w:i/>
                    </w:rPr>
                    <w:t>motorrit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37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kushinetave rrëshqitëse të boshtit </w:t>
                  </w:r>
                  <w:proofErr w:type="spellStart"/>
                  <w:r w:rsidRPr="006A4D12">
                    <w:rPr>
                      <w:i/>
                    </w:rPr>
                    <w:t>brrylor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  <w:tr w:rsidR="00C42805" w:rsidRPr="006A4D12" w:rsidTr="00945A8B">
              <w:tc>
                <w:tcPr>
                  <w:tcW w:w="93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38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 xml:space="preserve">Ndërrimi I cilindrave të </w:t>
                  </w:r>
                  <w:proofErr w:type="spellStart"/>
                  <w:r w:rsidRPr="006A4D12">
                    <w:rPr>
                      <w:i/>
                    </w:rPr>
                    <w:t>motorrit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copë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42805" w:rsidRPr="006A4D12" w:rsidRDefault="00C42805" w:rsidP="00C42805">
                  <w:pPr>
                    <w:rPr>
                      <w:i/>
                    </w:rPr>
                  </w:pPr>
                  <w:r w:rsidRPr="006A4D12">
                    <w:rPr>
                      <w:i/>
                    </w:rPr>
                    <w:t>1</w:t>
                  </w:r>
                </w:p>
              </w:tc>
            </w:tr>
          </w:tbl>
          <w:p w:rsidR="003D68E9" w:rsidRPr="00FA0EC5" w:rsidRDefault="003D68E9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5" w:rsidRDefault="000634A1" w:rsidP="000634A1">
            <w:pPr>
              <w:rPr>
                <w:b/>
                <w:color w:val="0000FF"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Pr="003D68E9">
              <w:rPr>
                <w:i/>
                <w:iCs/>
                <w:sz w:val="24"/>
                <w:szCs w:val="24"/>
              </w:rPr>
              <w:t xml:space="preserve"> ____ apo ditë </w:t>
            </w:r>
            <w:r w:rsidR="003D68E9">
              <w:rPr>
                <w:sz w:val="24"/>
                <w:szCs w:val="24"/>
              </w:rPr>
              <w:t xml:space="preserve">  </w:t>
            </w:r>
            <w:r w:rsidR="00C42805" w:rsidRPr="00B34B26">
              <w:rPr>
                <w:color w:val="0000FF"/>
                <w:sz w:val="24"/>
                <w:szCs w:val="24"/>
              </w:rPr>
              <w:t>(nga dhënia – nënshkrimi e/i kontratës)</w:t>
            </w:r>
            <w:r w:rsidR="00C42805">
              <w:rPr>
                <w:color w:val="0000FF"/>
                <w:sz w:val="24"/>
                <w:szCs w:val="24"/>
              </w:rPr>
              <w:t xml:space="preserve">  </w:t>
            </w:r>
            <w:r w:rsidR="00C42805">
              <w:rPr>
                <w:b/>
                <w:color w:val="0000FF"/>
                <w:sz w:val="24"/>
                <w:szCs w:val="24"/>
              </w:rPr>
              <w:t>12  muaj</w:t>
            </w:r>
            <w:r w:rsidR="00C42805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C42805" w:rsidRPr="00C42805" w:rsidRDefault="00C42805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2805">
              <w:rPr>
                <w:sz w:val="24"/>
                <w:szCs w:val="24"/>
              </w:rPr>
              <w:t>po</w:t>
            </w:r>
          </w:p>
          <w:p w:rsidR="000634A1" w:rsidRPr="00581E26" w:rsidRDefault="00C42805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="000634A1" w:rsidRPr="00581E26">
              <w:rPr>
                <w:sz w:val="24"/>
                <w:szCs w:val="24"/>
              </w:rPr>
              <w:t xml:space="preserve">  </w:t>
            </w:r>
            <w:r w:rsidRPr="001B5C17">
              <w:rPr>
                <w:color w:val="0000FF"/>
              </w:rPr>
              <w:t>Menjëherë</w:t>
            </w:r>
            <w:r>
              <w:rPr>
                <w:color w:val="0000FF"/>
              </w:rPr>
              <w:t xml:space="preserve"> </w:t>
            </w:r>
            <w:r w:rsidRPr="004576A0">
              <w:rPr>
                <w:color w:val="0000FF"/>
              </w:rPr>
              <w:t>pas nënshkrimit të kontratës</w:t>
            </w:r>
            <w:r>
              <w:rPr>
                <w:color w:val="0000FF"/>
              </w:rPr>
              <w:t xml:space="preserve">. </w:t>
            </w:r>
            <w:r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>
              <w:rPr>
                <w:color w:val="0000FF"/>
              </w:rPr>
              <w:t xml:space="preserve">të Sigurimit të </w:t>
            </w:r>
            <w:r w:rsidRPr="00364573">
              <w:rPr>
                <w:color w:val="0000FF"/>
              </w:rPr>
              <w:t>Ekz</w:t>
            </w:r>
            <w:r>
              <w:rPr>
                <w:color w:val="0000FF"/>
              </w:rPr>
              <w:t xml:space="preserve">ekutimit)  dhe nënshkrimit të </w:t>
            </w:r>
            <w:r w:rsidRPr="00364573">
              <w:rPr>
                <w:color w:val="0000FF"/>
              </w:rPr>
              <w:t xml:space="preserve"> njëjtës</w:t>
            </w:r>
          </w:p>
          <w:p w:rsidR="0038546D" w:rsidRPr="00B41453" w:rsidRDefault="000634A1" w:rsidP="00533027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proofErr w:type="spellStart"/>
            <w:r w:rsidR="00C42805">
              <w:rPr>
                <w:color w:val="0000FF"/>
              </w:rPr>
              <w:t>Konform</w:t>
            </w:r>
            <w:proofErr w:type="spellEnd"/>
            <w:r w:rsidR="00C42805">
              <w:rPr>
                <w:color w:val="0000FF"/>
              </w:rPr>
              <w:t xml:space="preserve"> afateve të përcaktuar si më lartë ( pika II.3 )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C42805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Default="000634A1" w:rsidP="00B414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2003A1" w:rsidRPr="00FA0EC5">
              <w:rPr>
                <w:sz w:val="24"/>
                <w:szCs w:val="24"/>
              </w:rPr>
              <w:t>________________________</w:t>
            </w:r>
          </w:p>
          <w:p w:rsidR="00B41453" w:rsidRPr="00FA0EC5" w:rsidRDefault="00B41453" w:rsidP="00B41453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>
              <w:rPr>
                <w:color w:val="3333FF"/>
              </w:rPr>
              <w:t>Op</w:t>
            </w:r>
            <w:proofErr w:type="spellEnd"/>
            <w:r>
              <w:rPr>
                <w:color w:val="3333FF"/>
              </w:rPr>
              <w:t xml:space="preserve">. </w:t>
            </w:r>
            <w:proofErr w:type="spellStart"/>
            <w:r>
              <w:rPr>
                <w:color w:val="3333FF"/>
              </w:rPr>
              <w:t>Ek</w:t>
            </w:r>
            <w:proofErr w:type="spellEnd"/>
            <w:r>
              <w:rPr>
                <w:color w:val="3333FF"/>
              </w:rPr>
              <w:t>. të cilit synohet dhënia e kontratës )...................................................................</w:t>
            </w:r>
            <w:r>
              <w:rPr>
                <w:color w:val="FF0000"/>
              </w:rPr>
              <w:t xml:space="preserve"> ( Origjinal ose kopje e </w:t>
            </w:r>
            <w:proofErr w:type="spellStart"/>
            <w:r>
              <w:rPr>
                <w:color w:val="FF0000"/>
              </w:rPr>
              <w:t>noterizuar</w:t>
            </w:r>
            <w:proofErr w:type="spellEnd"/>
            <w:r>
              <w:rPr>
                <w:color w:val="FF0000"/>
              </w:rPr>
              <w:t xml:space="preserve">  )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lastRenderedPageBreak/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FB142A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nga “ regjistri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“ apo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munges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tij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dokument ekuivalent i l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shuar nga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autoritet kompetent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 apo administrativ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vendit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tuaj ,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rteton se operatori ekonomik ka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drejt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marr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pjes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aktivitet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prokurimit dhe se ndaj tij nuk ekziston ndonj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rrethan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rcaktuar me Nenin 65 paragrafi 3.1, 3.3, 3.4, 3.5, 3.6, 4.1, 4.2 dhe 4.4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LPP-s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 </w:t>
            </w:r>
            <w:r w:rsidRPr="00E2638E">
              <w:rPr>
                <w:color w:val="FF0000"/>
              </w:rPr>
              <w:t>( Origjinal  ose kopje  e v</w:t>
            </w:r>
            <w:r w:rsidRPr="00E2638E">
              <w:rPr>
                <w:rFonts w:ascii="Calibri" w:hAnsi="Calibri"/>
                <w:color w:val="FF0000"/>
              </w:rPr>
              <w:t>ë</w:t>
            </w:r>
            <w:r w:rsidRPr="00E2638E">
              <w:rPr>
                <w:color w:val="FF0000"/>
              </w:rPr>
              <w:t>rtetuar  )</w:t>
            </w:r>
          </w:p>
          <w:p w:rsidR="00E2638E" w:rsidRDefault="00E2638E" w:rsidP="00E2638E">
            <w:pPr>
              <w:pStyle w:val="ListParagraph"/>
              <w:rPr>
                <w:color w:val="3333FF"/>
              </w:rPr>
            </w:pPr>
          </w:p>
          <w:p w:rsidR="00E2638E" w:rsidRP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42805" w:rsidRDefault="00C42805" w:rsidP="00C42805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C42805" w:rsidRDefault="00C42805" w:rsidP="00C42805">
            <w:pPr>
              <w:pStyle w:val="ListParagraph"/>
              <w:numPr>
                <w:ilvl w:val="1"/>
                <w:numId w:val="17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 Certifikata trajnimi.</w:t>
            </w:r>
          </w:p>
          <w:p w:rsidR="00C42805" w:rsidRDefault="00C42805" w:rsidP="00C42805">
            <w:pPr>
              <w:pStyle w:val="ListParagraph"/>
              <w:ind w:left="1440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C42805" w:rsidRPr="00694016" w:rsidRDefault="00C42805" w:rsidP="00C42805">
            <w:pPr>
              <w:pStyle w:val="ListParagraph"/>
              <w:numPr>
                <w:ilvl w:val="1"/>
                <w:numId w:val="17"/>
              </w:numPr>
              <w:ind w:right="267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694016">
              <w:rPr>
                <w:color w:val="0000FF"/>
                <w:kern w:val="0"/>
                <w:sz w:val="22"/>
                <w:szCs w:val="22"/>
                <w:lang w:eastAsia="it-IT"/>
              </w:rPr>
              <w:t>Operatorët ekonomikë pjesëmarrës duhet të kenë së paku</w:t>
            </w: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  (1) një  kontrate </w:t>
            </w:r>
            <w:r w:rsidRPr="00694016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 për shërbime të mirëmbajtjes dhe </w:t>
            </w:r>
            <w:proofErr w:type="spellStart"/>
            <w:r w:rsidRPr="00694016">
              <w:rPr>
                <w:color w:val="0000FF"/>
                <w:kern w:val="0"/>
                <w:sz w:val="22"/>
                <w:szCs w:val="22"/>
                <w:lang w:eastAsia="it-IT"/>
              </w:rPr>
              <w:t>servisimit</w:t>
            </w:r>
            <w:proofErr w:type="spellEnd"/>
            <w:r w:rsidRPr="00694016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 të gjeneratorëve, të realizuara në tri vjetët e shkuara (2013, 2014 dhe 2015).</w:t>
            </w:r>
          </w:p>
          <w:p w:rsidR="00C42805" w:rsidRPr="00694016" w:rsidRDefault="00C42805" w:rsidP="00C42805">
            <w:pPr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C42805" w:rsidRPr="000D0F3E" w:rsidRDefault="00C42805" w:rsidP="00C42805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C42805" w:rsidRPr="000D0F3E" w:rsidRDefault="00C42805" w:rsidP="00C42805">
            <w:pPr>
              <w:rPr>
                <w:b/>
                <w:bCs/>
                <w:sz w:val="24"/>
                <w:szCs w:val="24"/>
              </w:rPr>
            </w:pPr>
          </w:p>
          <w:p w:rsidR="00C42805" w:rsidRPr="00C42805" w:rsidRDefault="00C42805" w:rsidP="00C42805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40"/>
              <w:ind w:right="343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 xml:space="preserve"> Certifikatë</w:t>
            </w:r>
            <w:r w:rsidRPr="006A4D12">
              <w:rPr>
                <w:color w:val="3333FF"/>
                <w:sz w:val="22"/>
                <w:szCs w:val="22"/>
              </w:rPr>
              <w:t xml:space="preserve"> </w:t>
            </w:r>
            <w:r>
              <w:rPr>
                <w:color w:val="3333FF"/>
                <w:sz w:val="22"/>
                <w:szCs w:val="22"/>
              </w:rPr>
              <w:t xml:space="preserve">trajnimi nga prodhuesi i gjeneratorëve SDMO – ekuivalent </w:t>
            </w:r>
            <w:r w:rsidRPr="006A4D12">
              <w:rPr>
                <w:color w:val="FF0000"/>
                <w:kern w:val="0"/>
                <w:sz w:val="24"/>
                <w:szCs w:val="24"/>
                <w:lang w:eastAsia="it-IT"/>
              </w:rPr>
              <w:t>– (Kopje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 xml:space="preserve"> </w:t>
            </w:r>
            <w:r w:rsidRPr="006A4D12">
              <w:rPr>
                <w:color w:val="FF0000"/>
                <w:kern w:val="0"/>
                <w:sz w:val="24"/>
                <w:szCs w:val="24"/>
                <w:lang w:eastAsia="it-IT"/>
              </w:rPr>
              <w:t>)</w:t>
            </w:r>
          </w:p>
          <w:p w:rsidR="002003A1" w:rsidRPr="00C42805" w:rsidRDefault="00C42805" w:rsidP="00C42805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40"/>
              <w:ind w:right="343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C42805">
              <w:rPr>
                <w:color w:val="0000FF"/>
                <w:kern w:val="0"/>
                <w:sz w:val="24"/>
                <w:szCs w:val="24"/>
                <w:lang w:eastAsia="it-IT"/>
              </w:rPr>
              <w:t>Listën e kontratave që specifikon: shërbimet e përfshira; shumën e kontratës; datën dhe pranuesin, duke ia bashkëngjitur dëshmi kopjen e certifikatës (certifikatave) ose referencës, të nënshkruara nga pranuesi i shërbimeve për kontratat e cekura në listë, (kopje).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854FF0" w:rsidRDefault="00854FF0" w:rsidP="00B41453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</w:t>
            </w:r>
          </w:p>
          <w:p w:rsidR="00B41453" w:rsidRPr="00FA0EC5" w:rsidRDefault="00B41453" w:rsidP="00B41453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7" w:name="Check32"/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Default="001344DB" w:rsidP="00945A8B">
            <w:pPr>
              <w:rPr>
                <w:b/>
                <w:sz w:val="24"/>
                <w:szCs w:val="24"/>
              </w:rPr>
            </w:pPr>
            <w:r w:rsidRPr="001344D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44D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1344DB">
              <w:rPr>
                <w:b/>
                <w:color w:val="3333FF"/>
                <w:sz w:val="24"/>
                <w:szCs w:val="24"/>
              </w:rPr>
            </w:r>
            <w:r w:rsidRPr="001344DB">
              <w:rPr>
                <w:b/>
                <w:color w:val="3333FF"/>
                <w:sz w:val="24"/>
                <w:szCs w:val="24"/>
              </w:rPr>
              <w:fldChar w:fldCharType="end"/>
            </w:r>
            <w:r w:rsidRPr="001344DB">
              <w:rPr>
                <w:b/>
                <w:color w:val="3333FF"/>
                <w:sz w:val="24"/>
                <w:szCs w:val="24"/>
              </w:rPr>
              <w:t xml:space="preserve">  </w:t>
            </w:r>
            <w:proofErr w:type="spellStart"/>
            <w:r w:rsidRPr="001344DB">
              <w:rPr>
                <w:b/>
                <w:color w:val="3333FF"/>
                <w:sz w:val="24"/>
                <w:szCs w:val="24"/>
              </w:rPr>
              <w:t>Kuotim</w:t>
            </w:r>
            <w:proofErr w:type="spellEnd"/>
            <w:r w:rsidRPr="001344DB">
              <w:rPr>
                <w:b/>
                <w:color w:val="3333FF"/>
                <w:sz w:val="24"/>
                <w:szCs w:val="24"/>
              </w:rPr>
              <w:t xml:space="preserve"> i Çmimit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1344DB" w:rsidRPr="00FA0EC5" w:rsidTr="00945A8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EA39E1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1344DB" w:rsidRPr="00FA0EC5" w:rsidRDefault="001344DB" w:rsidP="00945A8B">
            <w:pPr>
              <w:ind w:left="360"/>
              <w:rPr>
                <w:i/>
                <w:sz w:val="24"/>
                <w:szCs w:val="24"/>
              </w:rPr>
            </w:pPr>
          </w:p>
          <w:bookmarkStart w:id="40" w:name="Check37"/>
          <w:p w:rsidR="001344DB" w:rsidRPr="001344DB" w:rsidRDefault="001344DB" w:rsidP="00945A8B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1344D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44D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1344DB">
              <w:rPr>
                <w:b/>
                <w:color w:val="3333FF"/>
                <w:sz w:val="24"/>
                <w:szCs w:val="24"/>
              </w:rPr>
            </w:r>
            <w:r w:rsidRPr="001344DB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40"/>
            <w:r w:rsidRPr="001344DB">
              <w:rPr>
                <w:b/>
                <w:color w:val="3333FF"/>
                <w:sz w:val="24"/>
                <w:szCs w:val="24"/>
              </w:rPr>
              <w:t xml:space="preserve"> Çmimi më i ulët</w:t>
            </w:r>
          </w:p>
          <w:p w:rsidR="001344DB" w:rsidRPr="00E81777" w:rsidRDefault="001344DB" w:rsidP="00945A8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1344DB" w:rsidRPr="00FA0EC5" w:rsidRDefault="001344DB" w:rsidP="00945A8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1344DB" w:rsidRPr="00FA0EC5" w:rsidTr="00945A8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1344DB" w:rsidRPr="00FA0EC5" w:rsidTr="00945A8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</w:p>
        </w:tc>
      </w:tr>
      <w:tr w:rsidR="001344DB" w:rsidRPr="00FA0EC5" w:rsidTr="00945A8B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945A8B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A13AC1">
              <w:rPr>
                <w:b/>
                <w:color w:val="3333FF"/>
                <w:sz w:val="22"/>
                <w:szCs w:val="22"/>
              </w:rPr>
              <w:t>12/04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/2016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A13AC1">
              <w:rPr>
                <w:b/>
                <w:bCs/>
                <w:i/>
                <w:color w:val="3333FF"/>
                <w:sz w:val="24"/>
                <w:szCs w:val="24"/>
              </w:rPr>
              <w:t>[</w:t>
            </w:r>
            <w:r w:rsidR="00166A92" w:rsidRPr="00A13AC1">
              <w:rPr>
                <w:b/>
                <w:bCs/>
                <w:i/>
                <w:color w:val="3333FF"/>
                <w:sz w:val="24"/>
                <w:szCs w:val="24"/>
              </w:rPr>
              <w:t>tenderëve</w:t>
            </w:r>
            <w:r w:rsidR="00533B24" w:rsidRPr="00A13AC1">
              <w:rPr>
                <w:b/>
                <w:bCs/>
                <w:i/>
                <w:color w:val="3333FF"/>
                <w:sz w:val="24"/>
                <w:szCs w:val="24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3466FE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A13AC1">
              <w:rPr>
                <w:b/>
                <w:color w:val="3333FF"/>
                <w:sz w:val="22"/>
                <w:szCs w:val="22"/>
              </w:rPr>
              <w:t>15/04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7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13AC1">
              <w:rPr>
                <w:b/>
                <w:color w:val="3333FF"/>
                <w:sz w:val="22"/>
                <w:szCs w:val="22"/>
              </w:rPr>
              <w:t>15/04</w:t>
            </w:r>
            <w:r w:rsidRPr="003466FE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07" w:rsidRDefault="002E1807">
      <w:r>
        <w:separator/>
      </w:r>
    </w:p>
  </w:endnote>
  <w:endnote w:type="continuationSeparator" w:id="0">
    <w:p w:rsidR="002E1807" w:rsidRDefault="002E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FE" w:rsidRDefault="003466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547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6FE" w:rsidRPr="00AB38F6" w:rsidRDefault="003466F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466FE" w:rsidRPr="00AB38F6" w:rsidRDefault="003466F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07" w:rsidRDefault="002E1807">
      <w:r>
        <w:separator/>
      </w:r>
    </w:p>
  </w:footnote>
  <w:footnote w:type="continuationSeparator" w:id="0">
    <w:p w:rsidR="002E1807" w:rsidRDefault="002E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FE" w:rsidRDefault="003466FE">
    <w:pPr>
      <w:tabs>
        <w:tab w:val="center" w:pos="4320"/>
        <w:tab w:val="right" w:pos="8640"/>
      </w:tabs>
      <w:rPr>
        <w:kern w:val="0"/>
      </w:rPr>
    </w:pPr>
  </w:p>
  <w:p w:rsidR="003466FE" w:rsidRDefault="003466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26240"/>
    <w:multiLevelType w:val="hybridMultilevel"/>
    <w:tmpl w:val="D076C044"/>
    <w:lvl w:ilvl="0" w:tplc="1B5E4B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339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4DB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761F"/>
    <w:rsid w:val="00241347"/>
    <w:rsid w:val="0025138E"/>
    <w:rsid w:val="0025704B"/>
    <w:rsid w:val="00265508"/>
    <w:rsid w:val="00266D83"/>
    <w:rsid w:val="00273C5A"/>
    <w:rsid w:val="00282F88"/>
    <w:rsid w:val="00283493"/>
    <w:rsid w:val="002851E8"/>
    <w:rsid w:val="002A03C5"/>
    <w:rsid w:val="002A3BA2"/>
    <w:rsid w:val="002C7314"/>
    <w:rsid w:val="002E1807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52D62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481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5B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3654"/>
    <w:rsid w:val="009E7B31"/>
    <w:rsid w:val="009F55C0"/>
    <w:rsid w:val="00A04628"/>
    <w:rsid w:val="00A04848"/>
    <w:rsid w:val="00A103C8"/>
    <w:rsid w:val="00A124CC"/>
    <w:rsid w:val="00A13AC1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0408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9B2"/>
    <w:rsid w:val="00B41453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5"/>
    <w:rsid w:val="00C42809"/>
    <w:rsid w:val="00C45B98"/>
    <w:rsid w:val="00C51B7B"/>
    <w:rsid w:val="00C5529E"/>
    <w:rsid w:val="00C67405"/>
    <w:rsid w:val="00C67547"/>
    <w:rsid w:val="00C817AF"/>
    <w:rsid w:val="00C817B8"/>
    <w:rsid w:val="00C82DAB"/>
    <w:rsid w:val="00C85BB6"/>
    <w:rsid w:val="00C95175"/>
    <w:rsid w:val="00CB2271"/>
    <w:rsid w:val="00CB2BDE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938E-35FF-47EF-8270-E8207804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2016-04-07T09:19:00Z</dcterms:created>
  <dcterms:modified xsi:type="dcterms:W3CDTF">2016-04-07T09:19:00Z</dcterms:modified>
</cp:coreProperties>
</file>